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0F5A6" w14:textId="77777777" w:rsidR="0034128A" w:rsidRPr="00D05241" w:rsidRDefault="0034128A" w:rsidP="00980425">
      <w:pPr>
        <w:pStyle w:val="AIUrgentActionTopHeading"/>
        <w:tabs>
          <w:tab w:val="clear" w:pos="567"/>
        </w:tabs>
        <w:ind w:left="-283"/>
        <w:rPr>
          <w:rFonts w:cs="Arial"/>
          <w:sz w:val="100"/>
          <w:szCs w:val="100"/>
          <w:lang w:val="es-ES"/>
        </w:rPr>
      </w:pPr>
      <w:r w:rsidRPr="00D05241">
        <w:rPr>
          <w:rFonts w:cs="Arial"/>
          <w:bCs/>
          <w:sz w:val="100"/>
          <w:szCs w:val="100"/>
          <w:highlight w:val="yellow"/>
          <w:lang w:val="es"/>
        </w:rPr>
        <w:t>ACCIÓN URGENTE</w:t>
      </w:r>
    </w:p>
    <w:p w14:paraId="579CD78A" w14:textId="77777777" w:rsidR="005D2C37" w:rsidRPr="00D05241" w:rsidRDefault="005D2C37" w:rsidP="00980425">
      <w:pPr>
        <w:pStyle w:val="Default"/>
        <w:ind w:left="-283"/>
        <w:rPr>
          <w:b/>
          <w:sz w:val="28"/>
          <w:szCs w:val="28"/>
          <w:lang w:val="es-ES"/>
        </w:rPr>
      </w:pPr>
    </w:p>
    <w:p w14:paraId="096FBD14" w14:textId="77777777" w:rsidR="00763ADA" w:rsidRPr="00D05241" w:rsidRDefault="00763ADA" w:rsidP="00901A6C">
      <w:pPr>
        <w:spacing w:after="0"/>
        <w:ind w:left="-283"/>
        <w:rPr>
          <w:rFonts w:ascii="Arial" w:eastAsia="Arial" w:hAnsi="Arial" w:cs="Arial"/>
          <w:b/>
          <w:bCs/>
          <w:sz w:val="32"/>
          <w:szCs w:val="32"/>
          <w:lang w:val="es-ES"/>
        </w:rPr>
      </w:pPr>
      <w:r w:rsidRPr="00D05241">
        <w:rPr>
          <w:rFonts w:ascii="Arial" w:eastAsia="Arial" w:hAnsi="Arial" w:cs="Arial"/>
          <w:b/>
          <w:bCs/>
          <w:sz w:val="32"/>
          <w:szCs w:val="36"/>
          <w:lang w:val="es"/>
        </w:rPr>
        <w:t>DEFENSORA Y DEFENSOR DE LOS DERECHOS HUMANOS SE ENFRENTAN A JUICIO INJUSTO</w:t>
      </w:r>
    </w:p>
    <w:p w14:paraId="2F9B8D8A" w14:textId="77777777" w:rsidR="00763ADA" w:rsidRPr="00D05241" w:rsidRDefault="00901A6C" w:rsidP="00901A6C">
      <w:pPr>
        <w:spacing w:after="0"/>
        <w:ind w:left="-283"/>
        <w:rPr>
          <w:rFonts w:ascii="Arial" w:eastAsia="Arial" w:hAnsi="Arial" w:cs="Arial"/>
          <w:b/>
          <w:bCs/>
          <w:lang w:val="es-ES"/>
        </w:rPr>
      </w:pPr>
      <w:r w:rsidRPr="00D05241">
        <w:rPr>
          <w:rFonts w:ascii="Arial" w:eastAsia="Arial" w:hAnsi="Arial" w:cs="Arial"/>
          <w:b/>
          <w:bCs/>
          <w:lang w:val="es"/>
        </w:rPr>
        <w:t xml:space="preserve">El 6 de marzo 2023, la Policía Regional Metropolitana de Yakarta entregó a la </w:t>
      </w:r>
      <w:proofErr w:type="gramStart"/>
      <w:r w:rsidRPr="00D05241">
        <w:rPr>
          <w:rFonts w:ascii="Arial" w:eastAsia="Arial" w:hAnsi="Arial" w:cs="Arial"/>
          <w:b/>
          <w:bCs/>
          <w:lang w:val="es"/>
        </w:rPr>
        <w:t>Fiscalía General</w:t>
      </w:r>
      <w:proofErr w:type="gramEnd"/>
      <w:r w:rsidRPr="00D05241">
        <w:rPr>
          <w:rFonts w:ascii="Arial" w:eastAsia="Arial" w:hAnsi="Arial" w:cs="Arial"/>
          <w:b/>
          <w:bCs/>
          <w:lang w:val="es"/>
        </w:rPr>
        <w:t xml:space="preserve"> las conclusiones de la investigación que había llevado a cabo sobre un caso de presunta difamación en el que estaban involucrados la defensora y el defensor de los derechos humanos </w:t>
      </w:r>
      <w:proofErr w:type="spellStart"/>
      <w:r w:rsidRPr="00D05241">
        <w:rPr>
          <w:rFonts w:ascii="Arial" w:eastAsia="Arial" w:hAnsi="Arial" w:cs="Arial"/>
          <w:b/>
          <w:bCs/>
          <w:lang w:val="es"/>
        </w:rPr>
        <w:t>Fatia</w:t>
      </w:r>
      <w:proofErr w:type="spellEnd"/>
      <w:r w:rsidRPr="00D05241">
        <w:rPr>
          <w:rFonts w:ascii="Arial" w:eastAsia="Arial" w:hAnsi="Arial" w:cs="Arial"/>
          <w:b/>
          <w:bCs/>
          <w:lang w:val="es"/>
        </w:rPr>
        <w:t xml:space="preserve"> </w:t>
      </w:r>
      <w:proofErr w:type="spellStart"/>
      <w:r w:rsidRPr="00D05241">
        <w:rPr>
          <w:rFonts w:ascii="Arial" w:eastAsia="Arial" w:hAnsi="Arial" w:cs="Arial"/>
          <w:b/>
          <w:bCs/>
          <w:lang w:val="es"/>
        </w:rPr>
        <w:t>Maulidiyanti</w:t>
      </w:r>
      <w:proofErr w:type="spellEnd"/>
      <w:r w:rsidRPr="00D05241">
        <w:rPr>
          <w:rFonts w:ascii="Arial" w:eastAsia="Arial" w:hAnsi="Arial" w:cs="Arial"/>
          <w:b/>
          <w:bCs/>
          <w:lang w:val="es"/>
        </w:rPr>
        <w:t xml:space="preserve"> y </w:t>
      </w:r>
      <w:proofErr w:type="spellStart"/>
      <w:r w:rsidRPr="00D05241">
        <w:rPr>
          <w:rFonts w:ascii="Arial" w:eastAsia="Arial" w:hAnsi="Arial" w:cs="Arial"/>
          <w:b/>
          <w:bCs/>
          <w:lang w:val="es"/>
        </w:rPr>
        <w:t>Haris</w:t>
      </w:r>
      <w:proofErr w:type="spellEnd"/>
      <w:r w:rsidRPr="00D05241">
        <w:rPr>
          <w:rFonts w:ascii="Arial" w:eastAsia="Arial" w:hAnsi="Arial" w:cs="Arial"/>
          <w:b/>
          <w:bCs/>
          <w:lang w:val="es"/>
        </w:rPr>
        <w:t xml:space="preserve"> </w:t>
      </w:r>
      <w:proofErr w:type="spellStart"/>
      <w:r w:rsidRPr="00D05241">
        <w:rPr>
          <w:rFonts w:ascii="Arial" w:eastAsia="Arial" w:hAnsi="Arial" w:cs="Arial"/>
          <w:b/>
          <w:bCs/>
          <w:lang w:val="es"/>
        </w:rPr>
        <w:t>Azhar</w:t>
      </w:r>
      <w:proofErr w:type="spellEnd"/>
      <w:r w:rsidRPr="00D05241">
        <w:rPr>
          <w:rFonts w:ascii="Arial" w:eastAsia="Arial" w:hAnsi="Arial" w:cs="Arial"/>
          <w:b/>
          <w:bCs/>
          <w:lang w:val="es"/>
        </w:rPr>
        <w:t xml:space="preserve">, para que prosiguiera con la investigación y el </w:t>
      </w:r>
      <w:proofErr w:type="spellStart"/>
      <w:r w:rsidRPr="00D05241">
        <w:rPr>
          <w:rFonts w:ascii="Arial" w:eastAsia="Arial" w:hAnsi="Arial" w:cs="Arial"/>
          <w:b/>
          <w:bCs/>
          <w:lang w:val="es"/>
        </w:rPr>
        <w:t>enjuciamiento</w:t>
      </w:r>
      <w:proofErr w:type="spellEnd"/>
      <w:r w:rsidRPr="00D05241">
        <w:rPr>
          <w:rFonts w:ascii="Arial" w:eastAsia="Arial" w:hAnsi="Arial" w:cs="Arial"/>
          <w:b/>
          <w:bCs/>
          <w:lang w:val="es"/>
        </w:rPr>
        <w:t xml:space="preserve">. El 17 de marzo de 2022 </w:t>
      </w:r>
      <w:proofErr w:type="spellStart"/>
      <w:r w:rsidRPr="00D05241">
        <w:rPr>
          <w:rFonts w:ascii="Arial" w:eastAsia="Arial" w:hAnsi="Arial" w:cs="Arial"/>
          <w:b/>
          <w:bCs/>
          <w:lang w:val="es"/>
        </w:rPr>
        <w:t>Fatia</w:t>
      </w:r>
      <w:proofErr w:type="spellEnd"/>
      <w:r w:rsidRPr="00D05241">
        <w:rPr>
          <w:rFonts w:ascii="Arial" w:eastAsia="Arial" w:hAnsi="Arial" w:cs="Arial"/>
          <w:b/>
          <w:bCs/>
          <w:lang w:val="es"/>
        </w:rPr>
        <w:t xml:space="preserve"> </w:t>
      </w:r>
      <w:proofErr w:type="spellStart"/>
      <w:r w:rsidRPr="00D05241">
        <w:rPr>
          <w:rFonts w:ascii="Arial" w:eastAsia="Arial" w:hAnsi="Arial" w:cs="Arial"/>
          <w:b/>
          <w:bCs/>
          <w:lang w:val="es"/>
        </w:rPr>
        <w:t>Maulidiyanti</w:t>
      </w:r>
      <w:proofErr w:type="spellEnd"/>
      <w:r w:rsidRPr="00D05241">
        <w:rPr>
          <w:rFonts w:ascii="Arial" w:eastAsia="Arial" w:hAnsi="Arial" w:cs="Arial"/>
          <w:b/>
          <w:bCs/>
          <w:lang w:val="es"/>
        </w:rPr>
        <w:t xml:space="preserve"> y </w:t>
      </w:r>
      <w:proofErr w:type="spellStart"/>
      <w:r w:rsidRPr="00D05241">
        <w:rPr>
          <w:rFonts w:ascii="Arial" w:eastAsia="Arial" w:hAnsi="Arial" w:cs="Arial"/>
          <w:b/>
          <w:bCs/>
          <w:lang w:val="es"/>
        </w:rPr>
        <w:t>Haris</w:t>
      </w:r>
      <w:proofErr w:type="spellEnd"/>
      <w:r w:rsidRPr="00D05241">
        <w:rPr>
          <w:rFonts w:ascii="Arial" w:eastAsia="Arial" w:hAnsi="Arial" w:cs="Arial"/>
          <w:b/>
          <w:bCs/>
          <w:lang w:val="es"/>
        </w:rPr>
        <w:t xml:space="preserve"> </w:t>
      </w:r>
      <w:proofErr w:type="spellStart"/>
      <w:r w:rsidRPr="00D05241">
        <w:rPr>
          <w:rFonts w:ascii="Arial" w:eastAsia="Arial" w:hAnsi="Arial" w:cs="Arial"/>
          <w:b/>
          <w:bCs/>
          <w:lang w:val="es"/>
        </w:rPr>
        <w:t>Azhar</w:t>
      </w:r>
      <w:proofErr w:type="spellEnd"/>
      <w:r w:rsidRPr="00D05241">
        <w:rPr>
          <w:rFonts w:ascii="Arial" w:eastAsia="Arial" w:hAnsi="Arial" w:cs="Arial"/>
          <w:b/>
          <w:bCs/>
          <w:lang w:val="es"/>
        </w:rPr>
        <w:t xml:space="preserve"> habían sido acusados de difamación en virtud de la Ley sobre Información y Transacciones Electrónicas, de 2008, tras haber sido denunciados el 22 de septiembre de 2021 por el ministro coordinador de Asuntos Marítimos e Inversiones. Ambos se enfrentan ahora a una posible condena de cuatro años de prisión si se los declara culpables.</w:t>
      </w:r>
    </w:p>
    <w:p w14:paraId="7C6C743B" w14:textId="1EB562C9" w:rsidR="005D2C37" w:rsidRPr="00D05241" w:rsidRDefault="005D2C37" w:rsidP="00980425">
      <w:pPr>
        <w:spacing w:after="0" w:line="240" w:lineRule="auto"/>
        <w:ind w:left="-283"/>
        <w:rPr>
          <w:rFonts w:ascii="Arial" w:hAnsi="Arial" w:cs="Arial"/>
          <w:b/>
          <w:lang w:val="es-ES"/>
        </w:rPr>
      </w:pPr>
    </w:p>
    <w:p w14:paraId="7F33C919" w14:textId="5F7FCEAA" w:rsidR="005D2C37" w:rsidRPr="00D05241" w:rsidRDefault="005D2C37" w:rsidP="000534EE">
      <w:pPr>
        <w:spacing w:after="0" w:line="240" w:lineRule="auto"/>
        <w:ind w:left="-283"/>
        <w:rPr>
          <w:rFonts w:ascii="Arial" w:hAnsi="Arial" w:cs="Arial"/>
          <w:b/>
          <w:sz w:val="20"/>
          <w:szCs w:val="20"/>
          <w:lang w:val="es-ES"/>
        </w:rPr>
      </w:pPr>
      <w:r w:rsidRPr="00D05241">
        <w:rPr>
          <w:rFonts w:ascii="Arial" w:hAnsi="Arial" w:cs="Arial"/>
          <w:b/>
          <w:bCs/>
          <w:color w:val="FF0000"/>
          <w:sz w:val="22"/>
          <w:lang w:val="es"/>
        </w:rPr>
        <w:t>ACTÚEN: REDACTEN SU PROPIO LLAMAMIENTO O UTILICEN LA SIGUIENTE CARTA MODELO</w:t>
      </w:r>
    </w:p>
    <w:p w14:paraId="00B6C4D0" w14:textId="77777777" w:rsidR="005D2C37" w:rsidRPr="00D05241" w:rsidRDefault="005D2C37" w:rsidP="00980425">
      <w:pPr>
        <w:autoSpaceDE w:val="0"/>
        <w:autoSpaceDN w:val="0"/>
        <w:adjustRightInd w:val="0"/>
        <w:spacing w:after="0" w:line="240" w:lineRule="auto"/>
        <w:ind w:left="-283"/>
        <w:rPr>
          <w:rFonts w:ascii="Arial" w:hAnsi="Arial" w:cs="Arial"/>
          <w:lang w:val="es-ES"/>
        </w:rPr>
      </w:pPr>
    </w:p>
    <w:p w14:paraId="31072917" w14:textId="77777777" w:rsidR="00C835B4" w:rsidRPr="00D05241" w:rsidRDefault="00901A6C" w:rsidP="00901A6C">
      <w:pPr>
        <w:spacing w:after="0"/>
        <w:ind w:left="-283"/>
        <w:jc w:val="right"/>
        <w:rPr>
          <w:rFonts w:ascii="Arial" w:eastAsia="Arial" w:hAnsi="Arial" w:cs="Arial"/>
          <w:i/>
          <w:iCs/>
          <w:szCs w:val="18"/>
          <w:u w:val="single"/>
          <w:lang w:val="es"/>
        </w:rPr>
      </w:pPr>
      <w:r w:rsidRPr="00D05241">
        <w:rPr>
          <w:rFonts w:ascii="Arial" w:eastAsia="Arial" w:hAnsi="Arial" w:cs="Arial"/>
          <w:i/>
          <w:iCs/>
          <w:szCs w:val="18"/>
          <w:u w:val="single"/>
          <w:lang w:val="es"/>
        </w:rPr>
        <w:t xml:space="preserve">Jefe de la </w:t>
      </w:r>
      <w:proofErr w:type="gramStart"/>
      <w:r w:rsidRPr="00D05241">
        <w:rPr>
          <w:rFonts w:ascii="Arial" w:eastAsia="Arial" w:hAnsi="Arial" w:cs="Arial"/>
          <w:i/>
          <w:iCs/>
          <w:szCs w:val="18"/>
          <w:u w:val="single"/>
          <w:lang w:val="es"/>
        </w:rPr>
        <w:t>Fiscalía General</w:t>
      </w:r>
      <w:proofErr w:type="gramEnd"/>
      <w:r w:rsidRPr="00D05241">
        <w:rPr>
          <w:rFonts w:ascii="Arial" w:eastAsia="Arial" w:hAnsi="Arial" w:cs="Arial"/>
          <w:i/>
          <w:iCs/>
          <w:szCs w:val="18"/>
          <w:u w:val="single"/>
          <w:lang w:val="es"/>
        </w:rPr>
        <w:t xml:space="preserve"> de Yakarta</w:t>
      </w:r>
    </w:p>
    <w:p w14:paraId="478F4A08" w14:textId="7C81D849" w:rsidR="00901A6C" w:rsidRPr="00D05241" w:rsidRDefault="00901A6C" w:rsidP="00901A6C">
      <w:pPr>
        <w:spacing w:after="0"/>
        <w:ind w:left="-283"/>
        <w:jc w:val="right"/>
        <w:rPr>
          <w:rFonts w:ascii="Arial" w:eastAsia="Arial" w:hAnsi="Arial" w:cs="Arial"/>
          <w:b/>
          <w:bCs/>
          <w:i/>
          <w:iCs/>
          <w:szCs w:val="18"/>
          <w:lang w:val="en-US"/>
        </w:rPr>
      </w:pPr>
      <w:r w:rsidRPr="00D05241">
        <w:rPr>
          <w:rFonts w:ascii="Arial" w:eastAsia="Arial" w:hAnsi="Arial" w:cs="Arial"/>
          <w:b/>
          <w:bCs/>
          <w:i/>
          <w:iCs/>
          <w:szCs w:val="18"/>
          <w:lang w:val="en-US"/>
        </w:rPr>
        <w:t xml:space="preserve">Reda </w:t>
      </w:r>
      <w:proofErr w:type="spellStart"/>
      <w:r w:rsidRPr="00D05241">
        <w:rPr>
          <w:rFonts w:ascii="Arial" w:eastAsia="Arial" w:hAnsi="Arial" w:cs="Arial"/>
          <w:b/>
          <w:bCs/>
          <w:i/>
          <w:iCs/>
          <w:szCs w:val="18"/>
          <w:lang w:val="en-US"/>
        </w:rPr>
        <w:t>Manthovani</w:t>
      </w:r>
      <w:proofErr w:type="spellEnd"/>
    </w:p>
    <w:p w14:paraId="5B03E95F" w14:textId="77777777" w:rsidR="00763ADA" w:rsidRPr="00D05241" w:rsidRDefault="00901A6C" w:rsidP="00901A6C">
      <w:pPr>
        <w:spacing w:after="0"/>
        <w:ind w:left="-283"/>
        <w:jc w:val="right"/>
        <w:rPr>
          <w:rFonts w:ascii="Arial" w:eastAsia="Arial" w:hAnsi="Arial" w:cs="Arial"/>
          <w:i/>
          <w:iCs/>
          <w:szCs w:val="18"/>
        </w:rPr>
      </w:pPr>
      <w:r w:rsidRPr="00D05241">
        <w:rPr>
          <w:rFonts w:ascii="Arial" w:eastAsia="Arial" w:hAnsi="Arial" w:cs="Arial"/>
          <w:i/>
          <w:iCs/>
          <w:szCs w:val="18"/>
          <w:lang w:val="en-US"/>
        </w:rPr>
        <w:t>Chief of DKI Jakarta Attorney General’s Office</w:t>
      </w:r>
    </w:p>
    <w:p w14:paraId="2957BCDA" w14:textId="77777777" w:rsidR="00763ADA" w:rsidRPr="00D05241" w:rsidRDefault="00901A6C" w:rsidP="00901A6C">
      <w:pPr>
        <w:spacing w:after="0"/>
        <w:ind w:left="-283"/>
        <w:jc w:val="right"/>
        <w:rPr>
          <w:rFonts w:ascii="Arial" w:eastAsia="Arial" w:hAnsi="Arial" w:cs="Arial"/>
          <w:i/>
          <w:iCs/>
          <w:szCs w:val="18"/>
          <w:lang w:val="es-ES"/>
        </w:rPr>
      </w:pPr>
      <w:proofErr w:type="spellStart"/>
      <w:r w:rsidRPr="00D05241">
        <w:rPr>
          <w:rFonts w:ascii="Arial" w:eastAsia="Arial" w:hAnsi="Arial" w:cs="Arial"/>
          <w:i/>
          <w:iCs/>
          <w:szCs w:val="18"/>
          <w:lang w:val="es"/>
        </w:rPr>
        <w:t>Jl</w:t>
      </w:r>
      <w:proofErr w:type="spellEnd"/>
      <w:r w:rsidRPr="00D05241">
        <w:rPr>
          <w:rFonts w:ascii="Arial" w:eastAsia="Arial" w:hAnsi="Arial" w:cs="Arial"/>
          <w:i/>
          <w:iCs/>
          <w:szCs w:val="18"/>
          <w:lang w:val="es"/>
        </w:rPr>
        <w:t xml:space="preserve">. H. R. </w:t>
      </w:r>
      <w:proofErr w:type="spellStart"/>
      <w:r w:rsidRPr="00D05241">
        <w:rPr>
          <w:rFonts w:ascii="Arial" w:eastAsia="Arial" w:hAnsi="Arial" w:cs="Arial"/>
          <w:i/>
          <w:iCs/>
          <w:szCs w:val="18"/>
          <w:lang w:val="es"/>
        </w:rPr>
        <w:t>Rasuna</w:t>
      </w:r>
      <w:proofErr w:type="spellEnd"/>
      <w:r w:rsidRPr="00D05241">
        <w:rPr>
          <w:rFonts w:ascii="Arial" w:eastAsia="Arial" w:hAnsi="Arial" w:cs="Arial"/>
          <w:i/>
          <w:iCs/>
          <w:szCs w:val="18"/>
          <w:lang w:val="es"/>
        </w:rPr>
        <w:t xml:space="preserve"> Said No.2, </w:t>
      </w:r>
      <w:proofErr w:type="spellStart"/>
      <w:r w:rsidRPr="00D05241">
        <w:rPr>
          <w:rFonts w:ascii="Arial" w:eastAsia="Arial" w:hAnsi="Arial" w:cs="Arial"/>
          <w:i/>
          <w:iCs/>
          <w:szCs w:val="18"/>
          <w:lang w:val="es"/>
        </w:rPr>
        <w:t>Jakarta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Selatan</w:t>
      </w:r>
      <w:proofErr w:type="spellEnd"/>
      <w:r w:rsidRPr="00D05241">
        <w:rPr>
          <w:rFonts w:ascii="Arial" w:eastAsia="Arial" w:hAnsi="Arial" w:cs="Arial"/>
          <w:i/>
          <w:iCs/>
          <w:szCs w:val="18"/>
          <w:lang w:val="es"/>
        </w:rPr>
        <w:t>,</w:t>
      </w:r>
    </w:p>
    <w:p w14:paraId="397A752B" w14:textId="1C5366DA" w:rsidR="00763ADA" w:rsidRPr="00D05241" w:rsidRDefault="00901A6C" w:rsidP="00901A6C">
      <w:pPr>
        <w:spacing w:after="0"/>
        <w:ind w:left="-283"/>
        <w:jc w:val="right"/>
        <w:rPr>
          <w:rFonts w:ascii="Arial" w:eastAsia="Arial" w:hAnsi="Arial" w:cs="Arial"/>
          <w:i/>
          <w:iCs/>
          <w:szCs w:val="18"/>
          <w:lang w:val="it-IT"/>
        </w:rPr>
      </w:pPr>
      <w:r w:rsidRPr="00D05241">
        <w:rPr>
          <w:rFonts w:ascii="Arial" w:eastAsia="Arial" w:hAnsi="Arial" w:cs="Arial"/>
          <w:i/>
          <w:iCs/>
          <w:szCs w:val="18"/>
          <w:lang w:val="it-IT"/>
        </w:rPr>
        <w:t>DKI Jakarta 12950</w:t>
      </w:r>
    </w:p>
    <w:p w14:paraId="469D7643" w14:textId="11B9E916" w:rsidR="00C835B4" w:rsidRPr="00D05241" w:rsidRDefault="00C835B4" w:rsidP="00901A6C">
      <w:pPr>
        <w:spacing w:after="0"/>
        <w:ind w:left="-283"/>
        <w:jc w:val="right"/>
        <w:rPr>
          <w:rFonts w:ascii="Arial" w:eastAsia="Arial" w:hAnsi="Arial" w:cs="Arial"/>
          <w:i/>
          <w:iCs/>
          <w:szCs w:val="18"/>
          <w:lang w:val="it-IT"/>
        </w:rPr>
      </w:pPr>
      <w:r w:rsidRPr="00D05241">
        <w:rPr>
          <w:rFonts w:ascii="Arial" w:eastAsia="Arial" w:hAnsi="Arial" w:cs="Arial"/>
          <w:i/>
          <w:iCs/>
          <w:szCs w:val="18"/>
          <w:lang w:val="it-IT"/>
        </w:rPr>
        <w:t>Indonesia</w:t>
      </w:r>
    </w:p>
    <w:p w14:paraId="24508AF4" w14:textId="77777777" w:rsidR="00763ADA" w:rsidRPr="00D05241" w:rsidRDefault="00901A6C" w:rsidP="00901A6C">
      <w:pPr>
        <w:spacing w:after="0"/>
        <w:ind w:left="-283"/>
        <w:jc w:val="right"/>
        <w:rPr>
          <w:rFonts w:ascii="Arial" w:eastAsia="Arial" w:hAnsi="Arial" w:cs="Arial"/>
          <w:i/>
          <w:iCs/>
          <w:szCs w:val="18"/>
          <w:lang w:val="it-IT"/>
        </w:rPr>
      </w:pPr>
      <w:r w:rsidRPr="00D05241">
        <w:rPr>
          <w:rFonts w:ascii="Arial" w:eastAsia="Arial" w:hAnsi="Arial" w:cs="Arial"/>
          <w:i/>
          <w:iCs/>
          <w:szCs w:val="18"/>
          <w:lang w:val="it-IT"/>
        </w:rPr>
        <w:t>Tel.: +62 21 5254128</w:t>
      </w:r>
    </w:p>
    <w:p w14:paraId="3D5B057B" w14:textId="141EC915" w:rsidR="00763ADA" w:rsidRPr="00D05241" w:rsidRDefault="00901A6C" w:rsidP="00901A6C">
      <w:pPr>
        <w:spacing w:after="0"/>
        <w:ind w:left="-283"/>
        <w:jc w:val="right"/>
        <w:rPr>
          <w:rFonts w:ascii="Arial" w:eastAsia="Arial" w:hAnsi="Arial" w:cs="Arial"/>
          <w:i/>
          <w:iCs/>
          <w:szCs w:val="18"/>
          <w:lang w:val="it-IT"/>
        </w:rPr>
      </w:pPr>
      <w:r w:rsidRPr="00D05241">
        <w:rPr>
          <w:rFonts w:ascii="Arial" w:eastAsia="Arial" w:hAnsi="Arial" w:cs="Arial"/>
          <w:i/>
          <w:iCs/>
          <w:szCs w:val="18"/>
          <w:lang w:val="it-IT"/>
        </w:rPr>
        <w:t>Correo-e: ktdkijakarta@kejaksaan.go.id</w:t>
      </w:r>
    </w:p>
    <w:p w14:paraId="05249D4E" w14:textId="40EF74A7" w:rsidR="00901A6C" w:rsidRPr="00D05241" w:rsidRDefault="00901A6C" w:rsidP="00901A6C">
      <w:pPr>
        <w:spacing w:after="0"/>
        <w:ind w:left="-283"/>
        <w:jc w:val="right"/>
        <w:rPr>
          <w:rFonts w:ascii="Arial" w:eastAsia="Arial" w:hAnsi="Arial" w:cs="Arial"/>
          <w:b/>
          <w:bCs/>
          <w:i/>
          <w:iCs/>
          <w:szCs w:val="18"/>
          <w:lang w:val="it-IT"/>
        </w:rPr>
      </w:pPr>
      <w:r w:rsidRPr="00D05241">
        <w:rPr>
          <w:rFonts w:ascii="Arial" w:eastAsia="Arial" w:hAnsi="Arial" w:cs="Arial"/>
          <w:i/>
          <w:iCs/>
          <w:szCs w:val="18"/>
          <w:lang w:val="it-IT"/>
        </w:rPr>
        <w:t>Twitter: @KejatiDki</w:t>
      </w:r>
    </w:p>
    <w:p w14:paraId="6BFB2736" w14:textId="77777777" w:rsidR="0050032F" w:rsidRPr="00D05241" w:rsidRDefault="0050032F" w:rsidP="000534EE">
      <w:pPr>
        <w:spacing w:after="0"/>
        <w:ind w:left="-283"/>
        <w:rPr>
          <w:rFonts w:ascii="Arial" w:eastAsia="Arial" w:hAnsi="Arial" w:cs="Arial"/>
          <w:i/>
          <w:iCs/>
          <w:szCs w:val="18"/>
          <w:lang w:val="it-IT"/>
        </w:rPr>
      </w:pPr>
    </w:p>
    <w:p w14:paraId="35307186" w14:textId="77777777" w:rsidR="00763ADA" w:rsidRPr="00D05241" w:rsidRDefault="000534EE" w:rsidP="000534EE">
      <w:pPr>
        <w:spacing w:after="0"/>
        <w:ind w:left="-283"/>
        <w:rPr>
          <w:rFonts w:ascii="Arial" w:eastAsia="Arial" w:hAnsi="Arial" w:cs="Arial"/>
          <w:i/>
          <w:iCs/>
          <w:szCs w:val="18"/>
          <w:lang w:val="it-IT"/>
        </w:rPr>
      </w:pPr>
      <w:r w:rsidRPr="00D05241">
        <w:rPr>
          <w:rFonts w:ascii="Arial" w:eastAsia="Arial" w:hAnsi="Arial" w:cs="Arial"/>
          <w:i/>
          <w:iCs/>
          <w:szCs w:val="18"/>
          <w:lang w:val="it-IT"/>
        </w:rPr>
        <w:t>Señor Manthovani:</w:t>
      </w:r>
    </w:p>
    <w:p w14:paraId="43473414" w14:textId="67EE1F37" w:rsidR="000534EE" w:rsidRPr="00D05241" w:rsidRDefault="000534EE" w:rsidP="000534EE">
      <w:pPr>
        <w:spacing w:after="0"/>
        <w:ind w:left="-283"/>
        <w:rPr>
          <w:rFonts w:ascii="Arial" w:eastAsia="Arial" w:hAnsi="Arial" w:cs="Arial"/>
          <w:i/>
          <w:iCs/>
          <w:szCs w:val="18"/>
          <w:lang w:val="it-IT"/>
        </w:rPr>
      </w:pPr>
    </w:p>
    <w:p w14:paraId="1DA5B829" w14:textId="77777777" w:rsidR="000534EE" w:rsidRPr="00D05241" w:rsidRDefault="000534EE" w:rsidP="000534EE">
      <w:pPr>
        <w:spacing w:after="0"/>
        <w:ind w:left="-283"/>
        <w:rPr>
          <w:rFonts w:ascii="Arial" w:eastAsia="Arial" w:hAnsi="Arial" w:cs="Arial"/>
          <w:i/>
          <w:iCs/>
          <w:szCs w:val="18"/>
          <w:lang w:val="es-ES"/>
        </w:rPr>
      </w:pPr>
      <w:r w:rsidRPr="00D05241">
        <w:rPr>
          <w:rFonts w:ascii="Arial" w:eastAsia="Arial" w:hAnsi="Arial" w:cs="Arial"/>
          <w:i/>
          <w:iCs/>
          <w:szCs w:val="18"/>
          <w:lang w:val="es"/>
        </w:rPr>
        <w:t xml:space="preserve">Le escribo para expresarle mi profunda preocupación por una defensora y un defensor de los derechos humanos, </w:t>
      </w:r>
      <w:proofErr w:type="spellStart"/>
      <w:r w:rsidRPr="00D05241">
        <w:rPr>
          <w:rFonts w:ascii="Arial" w:eastAsia="Arial" w:hAnsi="Arial" w:cs="Arial"/>
          <w:b/>
          <w:bCs/>
          <w:i/>
          <w:iCs/>
          <w:szCs w:val="18"/>
          <w:lang w:val="es"/>
        </w:rPr>
        <w:t>Fatia</w:t>
      </w:r>
      <w:proofErr w:type="spellEnd"/>
      <w:r w:rsidRPr="00D05241">
        <w:rPr>
          <w:rFonts w:ascii="Arial" w:eastAsia="Arial" w:hAnsi="Arial" w:cs="Arial"/>
          <w:b/>
          <w:bCs/>
          <w:i/>
          <w:iCs/>
          <w:szCs w:val="18"/>
          <w:lang w:val="es"/>
        </w:rPr>
        <w:t xml:space="preserve"> </w:t>
      </w:r>
      <w:proofErr w:type="spellStart"/>
      <w:r w:rsidRPr="00D05241">
        <w:rPr>
          <w:rFonts w:ascii="Arial" w:eastAsia="Arial" w:hAnsi="Arial" w:cs="Arial"/>
          <w:b/>
          <w:bCs/>
          <w:i/>
          <w:iCs/>
          <w:szCs w:val="18"/>
          <w:lang w:val="es"/>
        </w:rPr>
        <w:t>Maulidiyanti</w:t>
      </w:r>
      <w:proofErr w:type="spellEnd"/>
      <w:r w:rsidRPr="00D05241">
        <w:rPr>
          <w:rFonts w:ascii="Arial" w:eastAsia="Arial" w:hAnsi="Arial" w:cs="Arial"/>
          <w:i/>
          <w:iCs/>
          <w:szCs w:val="18"/>
          <w:lang w:val="es"/>
        </w:rPr>
        <w:t xml:space="preserve"> y </w:t>
      </w:r>
      <w:proofErr w:type="spellStart"/>
      <w:r w:rsidRPr="00D05241">
        <w:rPr>
          <w:rFonts w:ascii="Arial" w:eastAsia="Arial" w:hAnsi="Arial" w:cs="Arial"/>
          <w:b/>
          <w:bCs/>
          <w:i/>
          <w:iCs/>
          <w:szCs w:val="18"/>
          <w:lang w:val="es"/>
        </w:rPr>
        <w:t>Haris</w:t>
      </w:r>
      <w:proofErr w:type="spellEnd"/>
      <w:r w:rsidRPr="00D05241">
        <w:rPr>
          <w:rFonts w:ascii="Arial" w:eastAsia="Arial" w:hAnsi="Arial" w:cs="Arial"/>
          <w:b/>
          <w:bCs/>
          <w:i/>
          <w:iCs/>
          <w:szCs w:val="18"/>
          <w:lang w:val="es"/>
        </w:rPr>
        <w:t xml:space="preserve"> </w:t>
      </w:r>
      <w:proofErr w:type="spellStart"/>
      <w:r w:rsidRPr="00D05241">
        <w:rPr>
          <w:rFonts w:ascii="Arial" w:eastAsia="Arial" w:hAnsi="Arial" w:cs="Arial"/>
          <w:b/>
          <w:bCs/>
          <w:i/>
          <w:iCs/>
          <w:szCs w:val="18"/>
          <w:lang w:val="es"/>
        </w:rPr>
        <w:t>Azhar</w:t>
      </w:r>
      <w:proofErr w:type="spellEnd"/>
      <w:r w:rsidRPr="00D05241">
        <w:rPr>
          <w:rFonts w:ascii="Arial" w:eastAsia="Arial" w:hAnsi="Arial" w:cs="Arial"/>
          <w:i/>
          <w:iCs/>
          <w:szCs w:val="18"/>
          <w:lang w:val="es"/>
        </w:rPr>
        <w:t xml:space="preserve">, acusados de violar la disposición relativa a la difamación contenida en la Ley sobre Información y Transacciones Electrónicas. Los dos pueden ser procesados después de que, el 6 de marzo de 2023, la policía enviara a la </w:t>
      </w:r>
      <w:proofErr w:type="gramStart"/>
      <w:r w:rsidRPr="00D05241">
        <w:rPr>
          <w:rFonts w:ascii="Arial" w:eastAsia="Arial" w:hAnsi="Arial" w:cs="Arial"/>
          <w:i/>
          <w:iCs/>
          <w:szCs w:val="18"/>
          <w:lang w:val="es"/>
        </w:rPr>
        <w:t>Fiscalía General</w:t>
      </w:r>
      <w:proofErr w:type="gramEnd"/>
      <w:r w:rsidRPr="00D05241">
        <w:rPr>
          <w:rFonts w:ascii="Arial" w:eastAsia="Arial" w:hAnsi="Arial" w:cs="Arial"/>
          <w:i/>
          <w:iCs/>
          <w:szCs w:val="18"/>
          <w:lang w:val="es"/>
        </w:rPr>
        <w:t xml:space="preserve"> las conclusiones de las investigaciones que ha llevado a cabo sobre ellos. Estas actuaciones penales contra </w:t>
      </w: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 xml:space="preserve"> y </w:t>
      </w:r>
      <w:proofErr w:type="spellStart"/>
      <w:r w:rsidRPr="00D05241">
        <w:rPr>
          <w:rFonts w:ascii="Arial" w:eastAsia="Arial" w:hAnsi="Arial" w:cs="Arial"/>
          <w:i/>
          <w:iCs/>
          <w:szCs w:val="18"/>
          <w:lang w:val="es"/>
        </w:rPr>
        <w:t>Haris</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Azhar</w:t>
      </w:r>
      <w:proofErr w:type="spellEnd"/>
      <w:r w:rsidRPr="00D05241">
        <w:rPr>
          <w:rFonts w:ascii="Arial" w:eastAsia="Arial" w:hAnsi="Arial" w:cs="Arial"/>
          <w:i/>
          <w:iCs/>
          <w:szCs w:val="18"/>
          <w:lang w:val="es"/>
        </w:rPr>
        <w:t xml:space="preserve"> se suman a una larga lista de procesos que suponen la supresión injustificada de la libertad de expresión seguidos contra personas indonesias defensoras de los derechos humanos.</w:t>
      </w:r>
    </w:p>
    <w:p w14:paraId="7996CF03" w14:textId="77777777" w:rsidR="000534EE" w:rsidRPr="00D05241" w:rsidRDefault="000534EE" w:rsidP="000534EE">
      <w:pPr>
        <w:spacing w:after="0"/>
        <w:ind w:left="-283"/>
        <w:rPr>
          <w:rFonts w:ascii="Arial" w:eastAsia="Arial" w:hAnsi="Arial" w:cs="Arial"/>
          <w:i/>
          <w:iCs/>
          <w:szCs w:val="18"/>
          <w:lang w:val="es-ES"/>
        </w:rPr>
      </w:pPr>
    </w:p>
    <w:p w14:paraId="2990A94A" w14:textId="77777777" w:rsidR="000534EE" w:rsidRPr="00D05241" w:rsidRDefault="000534EE" w:rsidP="000534EE">
      <w:pPr>
        <w:spacing w:after="0"/>
        <w:ind w:left="-283"/>
        <w:rPr>
          <w:rFonts w:ascii="Arial" w:eastAsia="Arial" w:hAnsi="Arial" w:cs="Arial"/>
          <w:i/>
          <w:iCs/>
          <w:szCs w:val="18"/>
          <w:lang w:val="es-ES"/>
        </w:rPr>
      </w:pP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 xml:space="preserve"> y </w:t>
      </w:r>
      <w:proofErr w:type="spellStart"/>
      <w:r w:rsidRPr="00D05241">
        <w:rPr>
          <w:rFonts w:ascii="Arial" w:eastAsia="Arial" w:hAnsi="Arial" w:cs="Arial"/>
          <w:i/>
          <w:iCs/>
          <w:szCs w:val="18"/>
          <w:lang w:val="es"/>
        </w:rPr>
        <w:t>Haris</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Azhar</w:t>
      </w:r>
      <w:proofErr w:type="spellEnd"/>
      <w:r w:rsidRPr="00D05241">
        <w:rPr>
          <w:rFonts w:ascii="Arial" w:eastAsia="Arial" w:hAnsi="Arial" w:cs="Arial"/>
          <w:i/>
          <w:iCs/>
          <w:szCs w:val="18"/>
          <w:lang w:val="es"/>
        </w:rPr>
        <w:t xml:space="preserve"> fueron denunciados a la policía por </w:t>
      </w:r>
      <w:proofErr w:type="spellStart"/>
      <w:r w:rsidRPr="00D05241">
        <w:rPr>
          <w:rFonts w:ascii="Arial" w:eastAsia="Arial" w:hAnsi="Arial" w:cs="Arial"/>
          <w:i/>
          <w:iCs/>
          <w:szCs w:val="18"/>
          <w:lang w:val="es"/>
        </w:rPr>
        <w:t>Luhut</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Binsar</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Pandjaitan</w:t>
      </w:r>
      <w:proofErr w:type="spellEnd"/>
      <w:r w:rsidRPr="00D05241">
        <w:rPr>
          <w:rFonts w:ascii="Arial" w:eastAsia="Arial" w:hAnsi="Arial" w:cs="Arial"/>
          <w:i/>
          <w:iCs/>
          <w:szCs w:val="18"/>
          <w:lang w:val="es"/>
        </w:rPr>
        <w:t>, ministro coordinador de Asuntos Marítimos e Inversiones, que también demandó a estos defensores de los derechos humanos exigiendo a cada uno el pago de 100.000 millones de rupias indonesias (aproximadamente 7 millones de dólares estadounidenses).</w:t>
      </w:r>
    </w:p>
    <w:p w14:paraId="2DBB57D2" w14:textId="77777777" w:rsidR="000534EE" w:rsidRPr="00D05241" w:rsidRDefault="000534EE" w:rsidP="000534EE">
      <w:pPr>
        <w:spacing w:after="0"/>
        <w:ind w:left="-283"/>
        <w:rPr>
          <w:rFonts w:ascii="Arial" w:eastAsia="Arial" w:hAnsi="Arial" w:cs="Arial"/>
          <w:i/>
          <w:iCs/>
          <w:szCs w:val="18"/>
          <w:lang w:val="es-ES"/>
        </w:rPr>
      </w:pPr>
    </w:p>
    <w:p w14:paraId="0724E843" w14:textId="77777777" w:rsidR="000534EE" w:rsidRPr="00D05241" w:rsidRDefault="000534EE" w:rsidP="000534EE">
      <w:pPr>
        <w:spacing w:after="0"/>
        <w:ind w:left="-283"/>
        <w:rPr>
          <w:rFonts w:ascii="Arial" w:eastAsia="Arial" w:hAnsi="Arial" w:cs="Arial"/>
          <w:i/>
          <w:iCs/>
          <w:szCs w:val="18"/>
          <w:lang w:val="es-ES"/>
        </w:rPr>
      </w:pPr>
      <w:r w:rsidRPr="00D05241">
        <w:rPr>
          <w:rFonts w:ascii="Arial" w:eastAsia="Arial" w:hAnsi="Arial" w:cs="Arial"/>
          <w:i/>
          <w:iCs/>
          <w:szCs w:val="18"/>
          <w:lang w:val="es"/>
        </w:rPr>
        <w:t xml:space="preserve">Las denuncias están relacionadas con un vídeo publicado en el canal de YouTube de </w:t>
      </w:r>
      <w:proofErr w:type="spellStart"/>
      <w:r w:rsidRPr="00D05241">
        <w:rPr>
          <w:rFonts w:ascii="Arial" w:eastAsia="Arial" w:hAnsi="Arial" w:cs="Arial"/>
          <w:i/>
          <w:iCs/>
          <w:szCs w:val="18"/>
          <w:lang w:val="es"/>
        </w:rPr>
        <w:t>Haris</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Azhar</w:t>
      </w:r>
      <w:proofErr w:type="spellEnd"/>
      <w:r w:rsidRPr="00D05241">
        <w:rPr>
          <w:rFonts w:ascii="Arial" w:eastAsia="Arial" w:hAnsi="Arial" w:cs="Arial"/>
          <w:i/>
          <w:iCs/>
          <w:szCs w:val="18"/>
          <w:lang w:val="es"/>
        </w:rPr>
        <w:t xml:space="preserve">, en el que él y </w:t>
      </w: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 xml:space="preserve"> comentan un informe titulado </w:t>
      </w:r>
      <w:proofErr w:type="spellStart"/>
      <w:r w:rsidRPr="00D05241">
        <w:rPr>
          <w:rFonts w:ascii="Arial" w:eastAsia="Arial" w:hAnsi="Arial" w:cs="Arial"/>
          <w:szCs w:val="18"/>
          <w:lang w:val="es"/>
        </w:rPr>
        <w:t>Political</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Economy</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Study</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of</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Military</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Placement</w:t>
      </w:r>
      <w:proofErr w:type="spellEnd"/>
      <w:r w:rsidRPr="00D05241">
        <w:rPr>
          <w:rFonts w:ascii="Arial" w:eastAsia="Arial" w:hAnsi="Arial" w:cs="Arial"/>
          <w:szCs w:val="18"/>
          <w:lang w:val="es"/>
        </w:rPr>
        <w:t xml:space="preserve"> in </w:t>
      </w:r>
      <w:proofErr w:type="spellStart"/>
      <w:r w:rsidRPr="00D05241">
        <w:rPr>
          <w:rFonts w:ascii="Arial" w:eastAsia="Arial" w:hAnsi="Arial" w:cs="Arial"/>
          <w:szCs w:val="18"/>
          <w:lang w:val="es"/>
        </w:rPr>
        <w:t>Papua</w:t>
      </w:r>
      <w:proofErr w:type="spellEnd"/>
      <w:r w:rsidRPr="00D05241">
        <w:rPr>
          <w:rFonts w:ascii="Arial" w:eastAsia="Arial" w:hAnsi="Arial" w:cs="Arial"/>
          <w:szCs w:val="18"/>
          <w:lang w:val="es"/>
        </w:rPr>
        <w:t>:</w:t>
      </w:r>
      <w:r w:rsidRPr="00D05241">
        <w:rPr>
          <w:rFonts w:ascii="Arial" w:eastAsia="Arial" w:hAnsi="Arial" w:cs="Arial"/>
          <w:i/>
          <w:iCs/>
          <w:szCs w:val="18"/>
          <w:lang w:val="es"/>
        </w:rPr>
        <w:t xml:space="preserve"> </w:t>
      </w:r>
      <w:proofErr w:type="spellStart"/>
      <w:r w:rsidRPr="00D05241">
        <w:rPr>
          <w:rFonts w:ascii="Arial" w:eastAsia="Arial" w:hAnsi="Arial" w:cs="Arial"/>
          <w:szCs w:val="18"/>
          <w:lang w:val="es"/>
        </w:rPr>
        <w:t>The</w:t>
      </w:r>
      <w:proofErr w:type="spellEnd"/>
      <w:r w:rsidRPr="00D05241">
        <w:rPr>
          <w:rFonts w:ascii="Arial" w:eastAsia="Arial" w:hAnsi="Arial" w:cs="Arial"/>
          <w:szCs w:val="18"/>
          <w:lang w:val="es"/>
        </w:rPr>
        <w:t xml:space="preserve"> Case </w:t>
      </w:r>
      <w:proofErr w:type="spellStart"/>
      <w:r w:rsidRPr="00D05241">
        <w:rPr>
          <w:rFonts w:ascii="Arial" w:eastAsia="Arial" w:hAnsi="Arial" w:cs="Arial"/>
          <w:szCs w:val="18"/>
          <w:lang w:val="es"/>
        </w:rPr>
        <w:t>of</w:t>
      </w:r>
      <w:proofErr w:type="spellEnd"/>
      <w:r w:rsidRPr="00D05241">
        <w:rPr>
          <w:rFonts w:ascii="Arial" w:eastAsia="Arial" w:hAnsi="Arial" w:cs="Arial"/>
          <w:szCs w:val="18"/>
          <w:lang w:val="es"/>
        </w:rPr>
        <w:t xml:space="preserve"> </w:t>
      </w:r>
      <w:proofErr w:type="spellStart"/>
      <w:r w:rsidRPr="00D05241">
        <w:rPr>
          <w:rFonts w:ascii="Arial" w:eastAsia="Arial" w:hAnsi="Arial" w:cs="Arial"/>
          <w:szCs w:val="18"/>
          <w:lang w:val="es"/>
        </w:rPr>
        <w:t>Intan</w:t>
      </w:r>
      <w:proofErr w:type="spellEnd"/>
      <w:r w:rsidRPr="00D05241">
        <w:rPr>
          <w:rFonts w:ascii="Arial" w:eastAsia="Arial" w:hAnsi="Arial" w:cs="Arial"/>
          <w:szCs w:val="18"/>
          <w:lang w:val="es"/>
        </w:rPr>
        <w:t xml:space="preserve"> Jaya</w:t>
      </w:r>
      <w:r w:rsidRPr="00D05241">
        <w:rPr>
          <w:rFonts w:ascii="Arial" w:eastAsia="Arial" w:hAnsi="Arial" w:cs="Arial"/>
          <w:i/>
          <w:iCs/>
          <w:szCs w:val="18"/>
          <w:lang w:val="es"/>
        </w:rPr>
        <w:t xml:space="preserve">, que señala presuntos vínculos existentes entre las operaciones de las fuerzas armadas y la actividad minera que se lleva a cabo en la regencia de </w:t>
      </w:r>
      <w:proofErr w:type="spellStart"/>
      <w:r w:rsidRPr="00D05241">
        <w:rPr>
          <w:rFonts w:ascii="Arial" w:eastAsia="Arial" w:hAnsi="Arial" w:cs="Arial"/>
          <w:i/>
          <w:iCs/>
          <w:szCs w:val="18"/>
          <w:lang w:val="es"/>
        </w:rPr>
        <w:t>Intan</w:t>
      </w:r>
      <w:proofErr w:type="spellEnd"/>
      <w:r w:rsidRPr="00D05241">
        <w:rPr>
          <w:rFonts w:ascii="Arial" w:eastAsia="Arial" w:hAnsi="Arial" w:cs="Arial"/>
          <w:i/>
          <w:iCs/>
          <w:szCs w:val="18"/>
          <w:lang w:val="es"/>
        </w:rPr>
        <w:t xml:space="preserve"> Jaya (Papúa). El informe, presentado el 12 de agosto de 2021, había sido elaborado por nueve organizaciones, una de las cuales (</w:t>
      </w:r>
      <w:proofErr w:type="spellStart"/>
      <w:r w:rsidRPr="00D05241">
        <w:rPr>
          <w:rFonts w:ascii="Arial" w:eastAsia="Arial" w:hAnsi="Arial" w:cs="Arial"/>
          <w:i/>
          <w:iCs/>
          <w:szCs w:val="18"/>
          <w:lang w:val="es"/>
        </w:rPr>
        <w:t>Kontras</w:t>
      </w:r>
      <w:proofErr w:type="spellEnd"/>
      <w:r w:rsidRPr="00D05241">
        <w:rPr>
          <w:rFonts w:ascii="Arial" w:eastAsia="Arial" w:hAnsi="Arial" w:cs="Arial"/>
          <w:i/>
          <w:iCs/>
          <w:szCs w:val="18"/>
          <w:lang w:val="es"/>
        </w:rPr>
        <w:t xml:space="preserve">) trabaja en el ámbito de los derechos humanos y está dirigida por </w:t>
      </w: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w:t>
      </w:r>
    </w:p>
    <w:p w14:paraId="2DEF0511" w14:textId="77777777" w:rsidR="000534EE" w:rsidRPr="00D05241" w:rsidRDefault="000534EE" w:rsidP="000534EE">
      <w:pPr>
        <w:spacing w:after="0"/>
        <w:ind w:left="-283"/>
        <w:rPr>
          <w:rFonts w:ascii="Arial" w:eastAsia="Arial" w:hAnsi="Arial" w:cs="Arial"/>
          <w:i/>
          <w:iCs/>
          <w:szCs w:val="18"/>
          <w:lang w:val="es-ES"/>
        </w:rPr>
      </w:pPr>
    </w:p>
    <w:p w14:paraId="2DDE3AA1" w14:textId="77777777" w:rsidR="00763ADA" w:rsidRPr="00D05241" w:rsidRDefault="000534EE" w:rsidP="000534EE">
      <w:pPr>
        <w:spacing w:after="0"/>
        <w:ind w:left="-283"/>
        <w:rPr>
          <w:rFonts w:ascii="Arial" w:eastAsia="Arial" w:hAnsi="Arial" w:cs="Arial"/>
          <w:i/>
          <w:iCs/>
          <w:szCs w:val="18"/>
          <w:lang w:val="es-ES"/>
        </w:rPr>
      </w:pPr>
      <w:r w:rsidRPr="00D05241">
        <w:rPr>
          <w:rFonts w:ascii="Arial" w:eastAsia="Arial" w:hAnsi="Arial" w:cs="Arial"/>
          <w:i/>
          <w:iCs/>
          <w:szCs w:val="18"/>
          <w:lang w:val="es"/>
        </w:rPr>
        <w:t xml:space="preserve">Resulta alarmante saber que </w:t>
      </w: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 xml:space="preserve"> y </w:t>
      </w:r>
      <w:proofErr w:type="spellStart"/>
      <w:r w:rsidRPr="00D05241">
        <w:rPr>
          <w:rFonts w:ascii="Arial" w:eastAsia="Arial" w:hAnsi="Arial" w:cs="Arial"/>
          <w:i/>
          <w:iCs/>
          <w:szCs w:val="18"/>
          <w:lang w:val="es"/>
        </w:rPr>
        <w:t>Haris</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Azhar</w:t>
      </w:r>
      <w:proofErr w:type="spellEnd"/>
      <w:r w:rsidRPr="00D05241">
        <w:rPr>
          <w:rFonts w:ascii="Arial" w:eastAsia="Arial" w:hAnsi="Arial" w:cs="Arial"/>
          <w:i/>
          <w:iCs/>
          <w:szCs w:val="18"/>
          <w:lang w:val="es"/>
        </w:rPr>
        <w:t xml:space="preserve"> se enfrentan a cargos penales y una posible condena de cuatro años de prisión sólo por ejercer su derecho a la libertad de expresión, que está garantizado en virtud de la legislación nacional y del derecho internacional.</w:t>
      </w:r>
    </w:p>
    <w:p w14:paraId="7AFA4810" w14:textId="1E7FF4C7" w:rsidR="000534EE" w:rsidRPr="00D05241" w:rsidRDefault="000534EE" w:rsidP="000534EE">
      <w:pPr>
        <w:spacing w:after="0"/>
        <w:ind w:left="-283"/>
        <w:rPr>
          <w:rFonts w:ascii="Arial" w:eastAsia="Arial" w:hAnsi="Arial" w:cs="Arial"/>
          <w:i/>
          <w:iCs/>
          <w:szCs w:val="18"/>
          <w:lang w:val="es-ES"/>
        </w:rPr>
      </w:pPr>
    </w:p>
    <w:p w14:paraId="4CF7DAF3" w14:textId="77777777" w:rsidR="00763ADA" w:rsidRPr="00D05241" w:rsidRDefault="000534EE" w:rsidP="000534EE">
      <w:pPr>
        <w:spacing w:after="0"/>
        <w:ind w:left="-283"/>
        <w:rPr>
          <w:rFonts w:ascii="Arial" w:eastAsia="Arial" w:hAnsi="Arial" w:cs="Arial"/>
          <w:i/>
          <w:iCs/>
          <w:szCs w:val="18"/>
          <w:lang w:val="es-ES"/>
        </w:rPr>
      </w:pPr>
      <w:r w:rsidRPr="00D05241">
        <w:rPr>
          <w:rFonts w:ascii="Arial" w:eastAsia="Arial" w:hAnsi="Arial" w:cs="Arial"/>
          <w:i/>
          <w:iCs/>
          <w:szCs w:val="18"/>
          <w:lang w:val="es"/>
        </w:rPr>
        <w:t>Por tanto, lo insto a:</w:t>
      </w:r>
    </w:p>
    <w:p w14:paraId="4B4EBF8E" w14:textId="417BFF24" w:rsidR="00AC6B41" w:rsidRPr="00D05241" w:rsidRDefault="00AC6B41" w:rsidP="000534EE">
      <w:pPr>
        <w:spacing w:after="0"/>
        <w:ind w:left="-283"/>
        <w:rPr>
          <w:rFonts w:ascii="Arial" w:hAnsi="Arial" w:cs="Arial"/>
          <w:szCs w:val="18"/>
          <w:lang w:val="es-ES"/>
        </w:rPr>
      </w:pPr>
    </w:p>
    <w:p w14:paraId="5BFFF58D" w14:textId="77777777" w:rsidR="00763ADA" w:rsidRPr="00D05241" w:rsidRDefault="000534EE" w:rsidP="000534EE">
      <w:pPr>
        <w:pStyle w:val="Prrafodelista"/>
        <w:numPr>
          <w:ilvl w:val="0"/>
          <w:numId w:val="23"/>
        </w:numPr>
        <w:suppressAutoHyphens w:val="0"/>
        <w:spacing w:after="0" w:line="240" w:lineRule="auto"/>
        <w:rPr>
          <w:rFonts w:ascii="Arial" w:eastAsia="Arial" w:hAnsi="Arial" w:cs="Arial"/>
          <w:i/>
          <w:iCs/>
          <w:szCs w:val="18"/>
          <w:lang w:val="es-ES"/>
        </w:rPr>
      </w:pPr>
      <w:r w:rsidRPr="00D05241">
        <w:rPr>
          <w:rFonts w:ascii="Arial" w:eastAsia="Arial" w:hAnsi="Arial" w:cs="Arial"/>
          <w:i/>
          <w:iCs/>
          <w:szCs w:val="18"/>
          <w:lang w:val="es"/>
        </w:rPr>
        <w:t xml:space="preserve">retirar los cargos formulados contra </w:t>
      </w:r>
      <w:proofErr w:type="spellStart"/>
      <w:r w:rsidRPr="00D05241">
        <w:rPr>
          <w:rFonts w:ascii="Arial" w:eastAsia="Arial" w:hAnsi="Arial" w:cs="Arial"/>
          <w:i/>
          <w:iCs/>
          <w:szCs w:val="18"/>
          <w:lang w:val="es"/>
        </w:rPr>
        <w:t>Fatia</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Maulidiyanti</w:t>
      </w:r>
      <w:proofErr w:type="spellEnd"/>
      <w:r w:rsidRPr="00D05241">
        <w:rPr>
          <w:rFonts w:ascii="Arial" w:eastAsia="Arial" w:hAnsi="Arial" w:cs="Arial"/>
          <w:i/>
          <w:iCs/>
          <w:szCs w:val="18"/>
          <w:lang w:val="es"/>
        </w:rPr>
        <w:t xml:space="preserve"> y </w:t>
      </w:r>
      <w:proofErr w:type="spellStart"/>
      <w:r w:rsidRPr="00D05241">
        <w:rPr>
          <w:rFonts w:ascii="Arial" w:eastAsia="Arial" w:hAnsi="Arial" w:cs="Arial"/>
          <w:i/>
          <w:iCs/>
          <w:szCs w:val="18"/>
          <w:lang w:val="es"/>
        </w:rPr>
        <w:t>Haris</w:t>
      </w:r>
      <w:proofErr w:type="spellEnd"/>
      <w:r w:rsidRPr="00D05241">
        <w:rPr>
          <w:rFonts w:ascii="Arial" w:eastAsia="Arial" w:hAnsi="Arial" w:cs="Arial"/>
          <w:i/>
          <w:iCs/>
          <w:szCs w:val="18"/>
          <w:lang w:val="es"/>
        </w:rPr>
        <w:t xml:space="preserve"> </w:t>
      </w:r>
      <w:proofErr w:type="spellStart"/>
      <w:r w:rsidRPr="00D05241">
        <w:rPr>
          <w:rFonts w:ascii="Arial" w:eastAsia="Arial" w:hAnsi="Arial" w:cs="Arial"/>
          <w:i/>
          <w:iCs/>
          <w:szCs w:val="18"/>
          <w:lang w:val="es"/>
        </w:rPr>
        <w:t>Azhar</w:t>
      </w:r>
      <w:proofErr w:type="spellEnd"/>
      <w:r w:rsidRPr="00D05241">
        <w:rPr>
          <w:rFonts w:ascii="Arial" w:eastAsia="Arial" w:hAnsi="Arial" w:cs="Arial"/>
          <w:i/>
          <w:iCs/>
          <w:szCs w:val="18"/>
          <w:lang w:val="es"/>
        </w:rPr>
        <w:t xml:space="preserve"> y cerrar la investigación realizada sobre ambos;</w:t>
      </w:r>
    </w:p>
    <w:p w14:paraId="050B0F3E" w14:textId="77777777" w:rsidR="00763ADA" w:rsidRPr="00D05241" w:rsidRDefault="000534EE" w:rsidP="000534EE">
      <w:pPr>
        <w:pStyle w:val="Prrafodelista"/>
        <w:numPr>
          <w:ilvl w:val="0"/>
          <w:numId w:val="23"/>
        </w:numPr>
        <w:suppressAutoHyphens w:val="0"/>
        <w:spacing w:after="0" w:line="240" w:lineRule="auto"/>
        <w:rPr>
          <w:rFonts w:ascii="Arial" w:eastAsia="Arial" w:hAnsi="Arial" w:cs="Arial"/>
          <w:i/>
          <w:iCs/>
          <w:szCs w:val="18"/>
          <w:lang w:val="es-ES"/>
        </w:rPr>
      </w:pPr>
      <w:r w:rsidRPr="00D05241">
        <w:rPr>
          <w:rFonts w:ascii="Arial" w:eastAsia="Arial" w:hAnsi="Arial" w:cs="Arial"/>
          <w:i/>
          <w:iCs/>
          <w:szCs w:val="18"/>
          <w:lang w:val="es"/>
        </w:rPr>
        <w:t xml:space="preserve">garantizar que todos </w:t>
      </w:r>
      <w:proofErr w:type="gramStart"/>
      <w:r w:rsidRPr="00D05241">
        <w:rPr>
          <w:rFonts w:ascii="Arial" w:eastAsia="Arial" w:hAnsi="Arial" w:cs="Arial"/>
          <w:i/>
          <w:iCs/>
          <w:szCs w:val="18"/>
          <w:lang w:val="es"/>
        </w:rPr>
        <w:t>los defensores y defensoras</w:t>
      </w:r>
      <w:proofErr w:type="gramEnd"/>
      <w:r w:rsidRPr="00D05241">
        <w:rPr>
          <w:rFonts w:ascii="Arial" w:eastAsia="Arial" w:hAnsi="Arial" w:cs="Arial"/>
          <w:i/>
          <w:iCs/>
          <w:szCs w:val="18"/>
          <w:lang w:val="es"/>
        </w:rPr>
        <w:t xml:space="preserve"> de los derechos humanos pueden llevar a cabo sus actividades pacíficas sin sufrir hostigamiento, intimidación, detención arbitraria o temor a represalias, conforme establece la Declaración de la ONU sobre los Defensores de los Derechos Humanos, y</w:t>
      </w:r>
    </w:p>
    <w:p w14:paraId="042439D6" w14:textId="77777777" w:rsidR="00763ADA" w:rsidRPr="00D05241" w:rsidRDefault="000534EE" w:rsidP="000534EE">
      <w:pPr>
        <w:pStyle w:val="Prrafodelista"/>
        <w:numPr>
          <w:ilvl w:val="0"/>
          <w:numId w:val="23"/>
        </w:numPr>
        <w:suppressAutoHyphens w:val="0"/>
        <w:spacing w:after="0" w:line="240" w:lineRule="auto"/>
        <w:rPr>
          <w:rFonts w:ascii="Arial" w:eastAsia="Arial" w:hAnsi="Arial" w:cs="Arial"/>
          <w:i/>
          <w:iCs/>
          <w:szCs w:val="18"/>
          <w:lang w:val="es-ES"/>
        </w:rPr>
      </w:pPr>
      <w:r w:rsidRPr="00D05241">
        <w:rPr>
          <w:rFonts w:ascii="Arial" w:eastAsia="Arial" w:hAnsi="Arial" w:cs="Arial"/>
          <w:i/>
          <w:iCs/>
          <w:szCs w:val="18"/>
          <w:lang w:val="es"/>
        </w:rPr>
        <w:t>reformar la Ley sobre Información y Transacciones Electrónicas a fin de despenalizar la difamación y garantizar que ésta se trata únicamente como asunto civil.</w:t>
      </w:r>
    </w:p>
    <w:p w14:paraId="2281A605" w14:textId="77777777" w:rsidR="00763ADA" w:rsidRPr="00D05241" w:rsidRDefault="000534EE" w:rsidP="000534EE">
      <w:pPr>
        <w:spacing w:after="0"/>
        <w:ind w:left="-283"/>
        <w:rPr>
          <w:rFonts w:ascii="Arial" w:eastAsia="Arial" w:hAnsi="Arial" w:cs="Arial"/>
          <w:i/>
          <w:iCs/>
          <w:sz w:val="20"/>
          <w:szCs w:val="20"/>
          <w:lang w:val="es-ES"/>
        </w:rPr>
      </w:pPr>
      <w:r w:rsidRPr="00D05241">
        <w:rPr>
          <w:rFonts w:ascii="Arial" w:eastAsia="Arial" w:hAnsi="Arial" w:cs="Arial"/>
          <w:i/>
          <w:iCs/>
          <w:sz w:val="20"/>
          <w:szCs w:val="20"/>
          <w:lang w:val="es"/>
        </w:rPr>
        <w:t xml:space="preserve">  </w:t>
      </w:r>
    </w:p>
    <w:p w14:paraId="4650B033" w14:textId="7CCB68D5" w:rsidR="005D2C37" w:rsidRPr="00D05241" w:rsidRDefault="005D2C37" w:rsidP="00980425">
      <w:pPr>
        <w:spacing w:after="0" w:line="240" w:lineRule="auto"/>
        <w:ind w:left="-283"/>
        <w:rPr>
          <w:rFonts w:ascii="Arial" w:hAnsi="Arial" w:cs="Arial"/>
          <w:i/>
          <w:sz w:val="20"/>
          <w:szCs w:val="20"/>
          <w:lang w:val="es-ES"/>
        </w:rPr>
      </w:pPr>
      <w:r w:rsidRPr="00D05241">
        <w:rPr>
          <w:rFonts w:ascii="Arial" w:hAnsi="Arial" w:cs="Arial"/>
          <w:i/>
          <w:iCs/>
          <w:sz w:val="20"/>
          <w:szCs w:val="20"/>
          <w:lang w:val="es"/>
        </w:rPr>
        <w:t>Atentamente, [NOMBRE]</w:t>
      </w:r>
    </w:p>
    <w:p w14:paraId="1376BEBB" w14:textId="77777777" w:rsidR="0082127B" w:rsidRPr="00D05241" w:rsidRDefault="0082127B" w:rsidP="0082127B">
      <w:pPr>
        <w:pStyle w:val="AIBoxHeading"/>
        <w:shd w:val="clear" w:color="auto" w:fill="D9D9D9" w:themeFill="background1" w:themeFillShade="D9"/>
        <w:rPr>
          <w:rFonts w:ascii="Arial" w:hAnsi="Arial" w:cs="Arial"/>
          <w:b/>
          <w:sz w:val="32"/>
          <w:szCs w:val="32"/>
          <w:lang w:val="es-ES"/>
        </w:rPr>
      </w:pPr>
      <w:r w:rsidRPr="00D05241">
        <w:rPr>
          <w:rFonts w:ascii="Arial" w:hAnsi="Arial" w:cs="Arial"/>
          <w:b/>
          <w:bCs/>
          <w:sz w:val="32"/>
          <w:szCs w:val="32"/>
          <w:lang w:val="es"/>
        </w:rPr>
        <w:lastRenderedPageBreak/>
        <w:t>Información complementaria</w:t>
      </w:r>
    </w:p>
    <w:p w14:paraId="4D9E1C2E" w14:textId="77777777" w:rsidR="0050032F" w:rsidRPr="00D05241" w:rsidRDefault="0050032F" w:rsidP="00901A6C">
      <w:pPr>
        <w:widowControl/>
        <w:spacing w:after="160" w:line="259" w:lineRule="auto"/>
        <w:rPr>
          <w:rFonts w:ascii="Arial" w:hAnsi="Arial" w:cs="Arial"/>
          <w:sz w:val="19"/>
          <w:szCs w:val="19"/>
          <w:lang w:val="es-ES"/>
        </w:rPr>
      </w:pPr>
    </w:p>
    <w:p w14:paraId="1CA76F65" w14:textId="77777777" w:rsidR="00763ADA" w:rsidRPr="00D05241" w:rsidRDefault="00901A6C" w:rsidP="00901A6C">
      <w:pPr>
        <w:widowControl/>
        <w:spacing w:after="160" w:line="259" w:lineRule="auto"/>
        <w:rPr>
          <w:rFonts w:ascii="Arial" w:hAnsi="Arial" w:cs="Arial"/>
          <w:sz w:val="19"/>
          <w:szCs w:val="19"/>
          <w:lang w:val="es-ES"/>
        </w:rPr>
      </w:pP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son defensores indonesios de los derechos humanos.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es la coordinadora de la Comisión para las Desapariciones y las Víctimas de la Violencia (</w:t>
      </w:r>
      <w:proofErr w:type="spellStart"/>
      <w:r w:rsidRPr="00D05241">
        <w:rPr>
          <w:rFonts w:ascii="Arial" w:hAnsi="Arial" w:cs="Arial"/>
          <w:sz w:val="19"/>
          <w:szCs w:val="19"/>
          <w:lang w:val="es"/>
        </w:rPr>
        <w:t>Kontras</w:t>
      </w:r>
      <w:proofErr w:type="spellEnd"/>
      <w:r w:rsidRPr="00D05241">
        <w:rPr>
          <w:rFonts w:ascii="Arial" w:hAnsi="Arial" w:cs="Arial"/>
          <w:sz w:val="19"/>
          <w:szCs w:val="19"/>
          <w:lang w:val="es"/>
        </w:rPr>
        <w:t xml:space="preserve">), una organización constituida durante el periodo de gobierno autoritario de Indonesia que es muy conocida por sacar a la luz violaciones de los derechos humanos y llevar a cabo trabajo de incidencia en nombre de las víctimas.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es abogado, profesor universitario y fundador de la Fundación </w:t>
      </w:r>
      <w:proofErr w:type="spellStart"/>
      <w:r w:rsidRPr="00D05241">
        <w:rPr>
          <w:rFonts w:ascii="Arial" w:hAnsi="Arial" w:cs="Arial"/>
          <w:sz w:val="19"/>
          <w:szCs w:val="19"/>
          <w:lang w:val="es"/>
        </w:rPr>
        <w:t>Lokaratu</w:t>
      </w:r>
      <w:proofErr w:type="spellEnd"/>
      <w:r w:rsidRPr="00D05241">
        <w:rPr>
          <w:rFonts w:ascii="Arial" w:hAnsi="Arial" w:cs="Arial"/>
          <w:sz w:val="19"/>
          <w:szCs w:val="19"/>
          <w:lang w:val="es"/>
        </w:rPr>
        <w:t>, una pujante organización de derechos humanos.</w:t>
      </w:r>
    </w:p>
    <w:p w14:paraId="077938F7"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El 20 de agosto de 2021,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subió un vídeo a su canal de YouTube en el que aparecían él mismo y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conversando sobre un informe que mencionaba el hecho de que algunas empresas estaban presuntamente implicadas en la exploración de la mina aurífera de </w:t>
      </w:r>
      <w:proofErr w:type="spellStart"/>
      <w:r w:rsidRPr="00D05241">
        <w:rPr>
          <w:rFonts w:ascii="Arial" w:hAnsi="Arial" w:cs="Arial"/>
          <w:sz w:val="19"/>
          <w:szCs w:val="19"/>
          <w:lang w:val="es"/>
        </w:rPr>
        <w:t>Wabu</w:t>
      </w:r>
      <w:proofErr w:type="spellEnd"/>
      <w:r w:rsidRPr="00D05241">
        <w:rPr>
          <w:rFonts w:ascii="Arial" w:hAnsi="Arial" w:cs="Arial"/>
          <w:sz w:val="19"/>
          <w:szCs w:val="19"/>
          <w:lang w:val="es"/>
        </w:rPr>
        <w:t xml:space="preserve"> Block, en </w:t>
      </w:r>
      <w:proofErr w:type="spellStart"/>
      <w:r w:rsidRPr="00D05241">
        <w:rPr>
          <w:rFonts w:ascii="Arial" w:hAnsi="Arial" w:cs="Arial"/>
          <w:sz w:val="19"/>
          <w:szCs w:val="19"/>
          <w:lang w:val="es"/>
        </w:rPr>
        <w:t>Intan</w:t>
      </w:r>
      <w:proofErr w:type="spellEnd"/>
      <w:r w:rsidRPr="00D05241">
        <w:rPr>
          <w:rFonts w:ascii="Arial" w:hAnsi="Arial" w:cs="Arial"/>
          <w:sz w:val="19"/>
          <w:szCs w:val="19"/>
          <w:lang w:val="es"/>
        </w:rPr>
        <w:t xml:space="preserve"> Jaya (Papúa). El informe, realizado por nueve organizaciones —entre ellas </w:t>
      </w:r>
      <w:proofErr w:type="spellStart"/>
      <w:r w:rsidRPr="00D05241">
        <w:rPr>
          <w:rFonts w:ascii="Arial" w:hAnsi="Arial" w:cs="Arial"/>
          <w:sz w:val="19"/>
          <w:szCs w:val="19"/>
          <w:lang w:val="es"/>
        </w:rPr>
        <w:t>Kontras</w:t>
      </w:r>
      <w:proofErr w:type="spellEnd"/>
      <w:r w:rsidRPr="00D05241">
        <w:rPr>
          <w:rFonts w:ascii="Arial" w:hAnsi="Arial" w:cs="Arial"/>
          <w:sz w:val="19"/>
          <w:szCs w:val="19"/>
          <w:lang w:val="es"/>
        </w:rPr>
        <w:t xml:space="preserve">, dirigida por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w:t>
      </w:r>
      <w:proofErr w:type="spellEnd"/>
      <w:r w:rsidRPr="00D05241">
        <w:rPr>
          <w:rFonts w:ascii="Arial" w:hAnsi="Arial" w:cs="Arial"/>
          <w:sz w:val="19"/>
          <w:szCs w:val="19"/>
          <w:lang w:val="es"/>
        </w:rPr>
        <w:t xml:space="preserve">— y presentado el 12 de agosto de 2021, se titula </w:t>
      </w:r>
      <w:r w:rsidRPr="00D05241">
        <w:rPr>
          <w:rFonts w:ascii="Arial" w:hAnsi="Arial" w:cs="Arial"/>
          <w:i/>
          <w:iCs/>
          <w:sz w:val="19"/>
          <w:szCs w:val="19"/>
          <w:lang w:val="es"/>
        </w:rPr>
        <w:t xml:space="preserve">A </w:t>
      </w:r>
      <w:proofErr w:type="spellStart"/>
      <w:r w:rsidRPr="00D05241">
        <w:rPr>
          <w:rFonts w:ascii="Arial" w:hAnsi="Arial" w:cs="Arial"/>
          <w:i/>
          <w:iCs/>
          <w:sz w:val="19"/>
          <w:szCs w:val="19"/>
          <w:lang w:val="es"/>
        </w:rPr>
        <w:t>Political</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Economy</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Study</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of</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Military</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Placement</w:t>
      </w:r>
      <w:proofErr w:type="spellEnd"/>
      <w:r w:rsidRPr="00D05241">
        <w:rPr>
          <w:rFonts w:ascii="Arial" w:hAnsi="Arial" w:cs="Arial"/>
          <w:i/>
          <w:iCs/>
          <w:sz w:val="19"/>
          <w:szCs w:val="19"/>
          <w:lang w:val="es"/>
        </w:rPr>
        <w:t xml:space="preserve"> in </w:t>
      </w:r>
      <w:proofErr w:type="spellStart"/>
      <w:r w:rsidRPr="00D05241">
        <w:rPr>
          <w:rFonts w:ascii="Arial" w:hAnsi="Arial" w:cs="Arial"/>
          <w:i/>
          <w:iCs/>
          <w:sz w:val="19"/>
          <w:szCs w:val="19"/>
          <w:lang w:val="es"/>
        </w:rPr>
        <w:t>Papua</w:t>
      </w:r>
      <w:proofErr w:type="spellEnd"/>
      <w:r w:rsidRPr="00D05241">
        <w:rPr>
          <w:rFonts w:ascii="Arial" w:hAnsi="Arial" w:cs="Arial"/>
          <w:i/>
          <w:iCs/>
          <w:sz w:val="19"/>
          <w:szCs w:val="19"/>
          <w:lang w:val="es"/>
        </w:rPr>
        <w:t>:</w:t>
      </w:r>
      <w:r w:rsidRPr="00D05241">
        <w:rPr>
          <w:rFonts w:ascii="Arial" w:hAnsi="Arial" w:cs="Arial"/>
          <w:sz w:val="19"/>
          <w:szCs w:val="19"/>
          <w:lang w:val="es"/>
        </w:rPr>
        <w:t xml:space="preserve"> </w:t>
      </w:r>
      <w:proofErr w:type="spellStart"/>
      <w:r w:rsidRPr="00D05241">
        <w:rPr>
          <w:rFonts w:ascii="Arial" w:hAnsi="Arial" w:cs="Arial"/>
          <w:i/>
          <w:iCs/>
          <w:sz w:val="19"/>
          <w:szCs w:val="19"/>
          <w:lang w:val="es"/>
        </w:rPr>
        <w:t>The</w:t>
      </w:r>
      <w:proofErr w:type="spellEnd"/>
      <w:r w:rsidRPr="00D05241">
        <w:rPr>
          <w:rFonts w:ascii="Arial" w:hAnsi="Arial" w:cs="Arial"/>
          <w:i/>
          <w:iCs/>
          <w:sz w:val="19"/>
          <w:szCs w:val="19"/>
          <w:lang w:val="es"/>
        </w:rPr>
        <w:t xml:space="preserve"> Case </w:t>
      </w:r>
      <w:proofErr w:type="spellStart"/>
      <w:r w:rsidRPr="00D05241">
        <w:rPr>
          <w:rFonts w:ascii="Arial" w:hAnsi="Arial" w:cs="Arial"/>
          <w:i/>
          <w:iCs/>
          <w:sz w:val="19"/>
          <w:szCs w:val="19"/>
          <w:lang w:val="es"/>
        </w:rPr>
        <w:t>of</w:t>
      </w:r>
      <w:proofErr w:type="spellEnd"/>
      <w:r w:rsidRPr="00D05241">
        <w:rPr>
          <w:rFonts w:ascii="Arial" w:hAnsi="Arial" w:cs="Arial"/>
          <w:i/>
          <w:iCs/>
          <w:sz w:val="19"/>
          <w:szCs w:val="19"/>
          <w:lang w:val="es"/>
        </w:rPr>
        <w:t xml:space="preserve"> </w:t>
      </w:r>
      <w:proofErr w:type="spellStart"/>
      <w:r w:rsidRPr="00D05241">
        <w:rPr>
          <w:rFonts w:ascii="Arial" w:hAnsi="Arial" w:cs="Arial"/>
          <w:i/>
          <w:iCs/>
          <w:sz w:val="19"/>
          <w:szCs w:val="19"/>
          <w:lang w:val="es"/>
        </w:rPr>
        <w:t>Intan</w:t>
      </w:r>
      <w:proofErr w:type="spellEnd"/>
      <w:r w:rsidRPr="00D05241">
        <w:rPr>
          <w:rFonts w:ascii="Arial" w:hAnsi="Arial" w:cs="Arial"/>
          <w:i/>
          <w:iCs/>
          <w:sz w:val="19"/>
          <w:szCs w:val="19"/>
          <w:lang w:val="es"/>
        </w:rPr>
        <w:t xml:space="preserve"> Jaya</w:t>
      </w:r>
      <w:r w:rsidRPr="00D05241">
        <w:rPr>
          <w:rFonts w:ascii="Arial" w:hAnsi="Arial" w:cs="Arial"/>
          <w:sz w:val="19"/>
          <w:szCs w:val="19"/>
          <w:lang w:val="es"/>
        </w:rPr>
        <w:t xml:space="preserve"> (“Estudio de economía política sobre la ubicación de las fuerzas armadas en Papúa: El caso de </w:t>
      </w:r>
      <w:proofErr w:type="spellStart"/>
      <w:r w:rsidRPr="00D05241">
        <w:rPr>
          <w:rFonts w:ascii="Arial" w:hAnsi="Arial" w:cs="Arial"/>
          <w:sz w:val="19"/>
          <w:szCs w:val="19"/>
          <w:lang w:val="es"/>
        </w:rPr>
        <w:t>Intan</w:t>
      </w:r>
      <w:proofErr w:type="spellEnd"/>
      <w:r w:rsidRPr="00D05241">
        <w:rPr>
          <w:rFonts w:ascii="Arial" w:hAnsi="Arial" w:cs="Arial"/>
          <w:sz w:val="19"/>
          <w:szCs w:val="19"/>
          <w:lang w:val="es"/>
        </w:rPr>
        <w:t xml:space="preserve"> Jaya”) y sugiere la existencia de una relación entre las concesiones otorgadas por el gobierno indonesio a algunas empresas y el despliegue irregular de las fuerzas armadas en Papúa. </w:t>
      </w:r>
      <w:proofErr w:type="spellStart"/>
      <w:r w:rsidRPr="00D05241">
        <w:rPr>
          <w:rFonts w:ascii="Arial" w:hAnsi="Arial" w:cs="Arial"/>
          <w:sz w:val="19"/>
          <w:szCs w:val="19"/>
          <w:lang w:val="es"/>
        </w:rPr>
        <w:t>Luhut</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Binsar</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Pandjaitan</w:t>
      </w:r>
      <w:proofErr w:type="spellEnd"/>
      <w:r w:rsidRPr="00D05241">
        <w:rPr>
          <w:rFonts w:ascii="Arial" w:hAnsi="Arial" w:cs="Arial"/>
          <w:sz w:val="19"/>
          <w:szCs w:val="19"/>
          <w:lang w:val="es"/>
        </w:rPr>
        <w:t>, exgeneral de las fuerzas armadas y actual ministro coordinador de Asuntos Marítimos e Inversiones, era presuntamente inversor minoritario de una de las empresas mencionadas en el informe.</w:t>
      </w:r>
    </w:p>
    <w:p w14:paraId="7FF04BA6"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Tras la publicación del vídeo, </w:t>
      </w:r>
      <w:proofErr w:type="spellStart"/>
      <w:r w:rsidRPr="00D05241">
        <w:rPr>
          <w:rFonts w:ascii="Arial" w:hAnsi="Arial" w:cs="Arial"/>
          <w:sz w:val="19"/>
          <w:szCs w:val="19"/>
          <w:lang w:val="es"/>
        </w:rPr>
        <w:t>Luhut</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Binsar</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Pandjaitan</w:t>
      </w:r>
      <w:proofErr w:type="spellEnd"/>
      <w:r w:rsidRPr="00D05241">
        <w:rPr>
          <w:rFonts w:ascii="Arial" w:hAnsi="Arial" w:cs="Arial"/>
          <w:sz w:val="19"/>
          <w:szCs w:val="19"/>
          <w:lang w:val="es"/>
        </w:rPr>
        <w:t xml:space="preserve"> envió dos órdenes de citación a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con fecha de 26 de agosto y 2 de septiembre de 2021. Según el portavoz del ministro, en las citaciones se solicitaba a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que explicaran el motivo, la intención y el propósito del contenido de la grabación. </w:t>
      </w:r>
      <w:proofErr w:type="spellStart"/>
      <w:r w:rsidRPr="00D05241">
        <w:rPr>
          <w:rFonts w:ascii="Arial" w:hAnsi="Arial" w:cs="Arial"/>
          <w:sz w:val="19"/>
          <w:szCs w:val="19"/>
          <w:lang w:val="es"/>
        </w:rPr>
        <w:t>Luhut</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Binsar</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Pandjaitan</w:t>
      </w:r>
      <w:proofErr w:type="spellEnd"/>
      <w:r w:rsidRPr="00D05241">
        <w:rPr>
          <w:rFonts w:ascii="Arial" w:hAnsi="Arial" w:cs="Arial"/>
          <w:sz w:val="19"/>
          <w:szCs w:val="19"/>
          <w:lang w:val="es"/>
        </w:rPr>
        <w:t xml:space="preserve"> consideraba que el vídeo difundía opiniones falsas, difamaciones y bulos.</w:t>
      </w:r>
    </w:p>
    <w:p w14:paraId="67604DA5"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El 29 de agosto de 2021,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explicó que los datos mencionados en la conversación procedían del informe elaborado por diversas organizaciones de la sociedad civil, que planteaba la presunta participación de varios miembros destacados de las fuerzas armadas en el sector minero.</w:t>
      </w:r>
    </w:p>
    <w:p w14:paraId="437476AE"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El 21 de octubre de 2021, la Policía Regional Metropolitana del Gran Yakarta (la Policía de Yakarta) citó a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Luhut</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Binsar</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Pandjaitan</w:t>
      </w:r>
      <w:proofErr w:type="spellEnd"/>
      <w:r w:rsidRPr="00D05241">
        <w:rPr>
          <w:rFonts w:ascii="Arial" w:hAnsi="Arial" w:cs="Arial"/>
          <w:sz w:val="19"/>
          <w:szCs w:val="19"/>
          <w:lang w:val="es"/>
        </w:rPr>
        <w:t xml:space="preserve"> para un acto de mediación.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comparecieron, pero no así </w:t>
      </w:r>
      <w:proofErr w:type="spellStart"/>
      <w:r w:rsidRPr="00D05241">
        <w:rPr>
          <w:rFonts w:ascii="Arial" w:hAnsi="Arial" w:cs="Arial"/>
          <w:sz w:val="19"/>
          <w:szCs w:val="19"/>
          <w:lang w:val="es"/>
        </w:rPr>
        <w:t>Luhut</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Binsar</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Pandjaitan</w:t>
      </w:r>
      <w:proofErr w:type="spellEnd"/>
      <w:r w:rsidRPr="00D05241">
        <w:rPr>
          <w:rFonts w:ascii="Arial" w:hAnsi="Arial" w:cs="Arial"/>
          <w:sz w:val="19"/>
          <w:szCs w:val="19"/>
          <w:lang w:val="es"/>
        </w:rPr>
        <w:t>; en consecuencia, la mediación se aplazó indefinidamente.</w:t>
      </w:r>
    </w:p>
    <w:p w14:paraId="3AE403EA"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El 17 de marzo de 2022,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fueron acusados de difamación e imputados en virtud del artículo 27.3 de la Ley sobre Información y Transacciones Electrónicas. El día 21 de ese mismo mes, ambos fueron citados por la Policía de Yakarta para el proceso de investigación.</w:t>
      </w:r>
    </w:p>
    <w:p w14:paraId="65361A0B"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La mañana del 6 de marzo de 2023, la Policía de Yakarta citó a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para informarlos sobre la compleción del expediente del caso y para realizar un examen médico, y ese mismo día entregó el expediente al Tribunal de Distrito de Yakarta Oriental, una fiscalía de nivel municipal supervisada por la </w:t>
      </w:r>
      <w:proofErr w:type="gramStart"/>
      <w:r w:rsidRPr="00D05241">
        <w:rPr>
          <w:rFonts w:ascii="Arial" w:hAnsi="Arial" w:cs="Arial"/>
          <w:sz w:val="19"/>
          <w:szCs w:val="19"/>
          <w:lang w:val="es"/>
        </w:rPr>
        <w:t>Fiscalía General</w:t>
      </w:r>
      <w:proofErr w:type="gramEnd"/>
      <w:r w:rsidRPr="00D05241">
        <w:rPr>
          <w:rFonts w:ascii="Arial" w:hAnsi="Arial" w:cs="Arial"/>
          <w:sz w:val="19"/>
          <w:szCs w:val="19"/>
          <w:lang w:val="es"/>
        </w:rPr>
        <w:t xml:space="preserve"> de Yakarta.</w:t>
      </w:r>
    </w:p>
    <w:p w14:paraId="64F77069"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El equipo jurídico de </w:t>
      </w:r>
      <w:proofErr w:type="spellStart"/>
      <w:r w:rsidRPr="00D05241">
        <w:rPr>
          <w:rFonts w:ascii="Arial" w:hAnsi="Arial" w:cs="Arial"/>
          <w:sz w:val="19"/>
          <w:szCs w:val="19"/>
          <w:lang w:val="es"/>
        </w:rPr>
        <w:t>Fatia</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Maulidiyanti</w:t>
      </w:r>
      <w:proofErr w:type="spellEnd"/>
      <w:r w:rsidRPr="00D05241">
        <w:rPr>
          <w:rFonts w:ascii="Arial" w:hAnsi="Arial" w:cs="Arial"/>
          <w:sz w:val="19"/>
          <w:szCs w:val="19"/>
          <w:lang w:val="es"/>
        </w:rPr>
        <w:t xml:space="preserve"> y </w:t>
      </w:r>
      <w:proofErr w:type="spellStart"/>
      <w:r w:rsidRPr="00D05241">
        <w:rPr>
          <w:rFonts w:ascii="Arial" w:hAnsi="Arial" w:cs="Arial"/>
          <w:sz w:val="19"/>
          <w:szCs w:val="19"/>
          <w:lang w:val="es"/>
        </w:rPr>
        <w:t>Haris</w:t>
      </w:r>
      <w:proofErr w:type="spellEnd"/>
      <w:r w:rsidRPr="00D05241">
        <w:rPr>
          <w:rFonts w:ascii="Arial" w:hAnsi="Arial" w:cs="Arial"/>
          <w:sz w:val="19"/>
          <w:szCs w:val="19"/>
          <w:lang w:val="es"/>
        </w:rPr>
        <w:t xml:space="preserve"> </w:t>
      </w:r>
      <w:proofErr w:type="spellStart"/>
      <w:r w:rsidRPr="00D05241">
        <w:rPr>
          <w:rFonts w:ascii="Arial" w:hAnsi="Arial" w:cs="Arial"/>
          <w:sz w:val="19"/>
          <w:szCs w:val="19"/>
          <w:lang w:val="es"/>
        </w:rPr>
        <w:t>Azhar</w:t>
      </w:r>
      <w:proofErr w:type="spellEnd"/>
      <w:r w:rsidRPr="00D05241">
        <w:rPr>
          <w:rFonts w:ascii="Arial" w:hAnsi="Arial" w:cs="Arial"/>
          <w:sz w:val="19"/>
          <w:szCs w:val="19"/>
          <w:lang w:val="es"/>
        </w:rPr>
        <w:t xml:space="preserve"> señaló que el juicio podría iniciarse a partir del 13 de marzo de 2023.</w:t>
      </w:r>
    </w:p>
    <w:p w14:paraId="3C5824C8" w14:textId="77777777" w:rsidR="00763ADA" w:rsidRPr="00D05241" w:rsidRDefault="00901A6C" w:rsidP="00901A6C">
      <w:pPr>
        <w:widowControl/>
        <w:spacing w:after="160" w:line="259" w:lineRule="auto"/>
        <w:rPr>
          <w:rFonts w:ascii="Arial" w:hAnsi="Arial" w:cs="Arial"/>
          <w:sz w:val="19"/>
          <w:szCs w:val="19"/>
          <w:lang w:val="es-ES"/>
        </w:rPr>
      </w:pPr>
      <w:r w:rsidRPr="00D05241">
        <w:rPr>
          <w:rFonts w:ascii="Arial" w:hAnsi="Arial" w:cs="Arial"/>
          <w:sz w:val="19"/>
          <w:szCs w:val="19"/>
          <w:lang w:val="es"/>
        </w:rPr>
        <w:t xml:space="preserve">Amnistía Internacional Indonesia ha documentado al menos 1.021 casos de enjuiciamiento, detención, ataques e intimidación de </w:t>
      </w:r>
      <w:proofErr w:type="gramStart"/>
      <w:r w:rsidRPr="00D05241">
        <w:rPr>
          <w:rFonts w:ascii="Arial" w:hAnsi="Arial" w:cs="Arial"/>
          <w:sz w:val="19"/>
          <w:szCs w:val="19"/>
          <w:lang w:val="es"/>
        </w:rPr>
        <w:t>defensores y defensoras</w:t>
      </w:r>
      <w:proofErr w:type="gramEnd"/>
      <w:r w:rsidRPr="00D05241">
        <w:rPr>
          <w:rFonts w:ascii="Arial" w:hAnsi="Arial" w:cs="Arial"/>
          <w:sz w:val="19"/>
          <w:szCs w:val="19"/>
          <w:lang w:val="es"/>
        </w:rPr>
        <w:t xml:space="preserve"> de los derechos humanos por parte de diferentes actores que tuvieron lugar entre enero y diciembre de 2022. Por otra parte, entre enero de 2019 y mayo de 2022 se presentaron cargos en virtud de la Ley sobre Información y Transacciones Electrónicas en contra de al menos 332 personas, en su mayoría acusadas de difamación.</w:t>
      </w:r>
    </w:p>
    <w:p w14:paraId="00B89EDC" w14:textId="03A06BE7" w:rsidR="00901A6C" w:rsidRPr="00D05241" w:rsidRDefault="00901A6C" w:rsidP="00901A6C">
      <w:pPr>
        <w:spacing w:after="0"/>
        <w:rPr>
          <w:rFonts w:ascii="Arial" w:eastAsia="Arial" w:hAnsi="Arial" w:cs="Arial"/>
          <w:b/>
          <w:sz w:val="19"/>
          <w:szCs w:val="19"/>
          <w:lang w:val="es-ES"/>
        </w:rPr>
      </w:pPr>
      <w:r w:rsidRPr="00D05241">
        <w:rPr>
          <w:rFonts w:ascii="Arial" w:eastAsia="Arial" w:hAnsi="Arial" w:cs="Arial"/>
          <w:b/>
          <w:bCs/>
          <w:sz w:val="19"/>
          <w:szCs w:val="19"/>
          <w:lang w:val="es"/>
        </w:rPr>
        <w:t>PUEDEN ESCRIBIR LLAMAMIENTOS EN:</w:t>
      </w:r>
      <w:r w:rsidRPr="00D05241">
        <w:rPr>
          <w:rFonts w:ascii="Arial" w:eastAsia="Arial" w:hAnsi="Arial" w:cs="Arial"/>
          <w:sz w:val="19"/>
          <w:szCs w:val="19"/>
          <w:lang w:val="es"/>
        </w:rPr>
        <w:t xml:space="preserve"> </w:t>
      </w:r>
      <w:proofErr w:type="gramStart"/>
      <w:r w:rsidRPr="00D05241">
        <w:rPr>
          <w:rFonts w:ascii="Arial" w:eastAsia="Arial" w:hAnsi="Arial" w:cs="Arial"/>
          <w:sz w:val="19"/>
          <w:szCs w:val="19"/>
          <w:lang w:val="es"/>
        </w:rPr>
        <w:t>Inglés</w:t>
      </w:r>
      <w:proofErr w:type="gramEnd"/>
      <w:r w:rsidRPr="00D05241">
        <w:rPr>
          <w:rFonts w:ascii="Arial" w:eastAsia="Arial" w:hAnsi="Arial" w:cs="Arial"/>
          <w:sz w:val="19"/>
          <w:szCs w:val="19"/>
          <w:lang w:val="es"/>
        </w:rPr>
        <w:t xml:space="preserve"> o indonesio</w:t>
      </w:r>
    </w:p>
    <w:p w14:paraId="45B31F1C" w14:textId="77777777" w:rsidR="00901A6C" w:rsidRPr="00D05241" w:rsidRDefault="00901A6C" w:rsidP="00901A6C">
      <w:pPr>
        <w:spacing w:after="0"/>
        <w:rPr>
          <w:rFonts w:ascii="Arial" w:eastAsia="Arial" w:hAnsi="Arial" w:cs="Arial"/>
          <w:color w:val="0070C0"/>
          <w:sz w:val="19"/>
          <w:szCs w:val="19"/>
          <w:lang w:val="es-ES"/>
        </w:rPr>
      </w:pPr>
      <w:r w:rsidRPr="00D05241">
        <w:rPr>
          <w:rFonts w:ascii="Arial" w:eastAsia="Arial" w:hAnsi="Arial" w:cs="Arial"/>
          <w:sz w:val="19"/>
          <w:szCs w:val="19"/>
          <w:lang w:val="es"/>
        </w:rPr>
        <w:t>También pueden escribir en su propio idioma.</w:t>
      </w:r>
    </w:p>
    <w:p w14:paraId="03BD5011" w14:textId="77777777" w:rsidR="00901A6C" w:rsidRPr="00D05241" w:rsidRDefault="00901A6C" w:rsidP="00901A6C">
      <w:pPr>
        <w:spacing w:after="0"/>
        <w:rPr>
          <w:rFonts w:ascii="Arial" w:eastAsia="Arial" w:hAnsi="Arial" w:cs="Arial"/>
          <w:color w:val="0070C0"/>
          <w:sz w:val="19"/>
          <w:szCs w:val="19"/>
          <w:lang w:val="es-ES"/>
        </w:rPr>
      </w:pPr>
    </w:p>
    <w:p w14:paraId="22860020" w14:textId="77777777" w:rsidR="00763ADA" w:rsidRPr="00D05241" w:rsidRDefault="00901A6C" w:rsidP="00901A6C">
      <w:pPr>
        <w:spacing w:after="0"/>
        <w:rPr>
          <w:rFonts w:ascii="Arial" w:eastAsia="Arial" w:hAnsi="Arial" w:cs="Arial"/>
          <w:sz w:val="19"/>
          <w:szCs w:val="19"/>
          <w:lang w:val="es-ES"/>
        </w:rPr>
      </w:pPr>
      <w:r w:rsidRPr="00D05241">
        <w:rPr>
          <w:rFonts w:ascii="Arial" w:hAnsi="Arial" w:cs="Arial"/>
          <w:b/>
          <w:bCs/>
          <w:sz w:val="19"/>
          <w:szCs w:val="19"/>
          <w:lang w:val="es"/>
        </w:rPr>
        <w:t xml:space="preserve">ENVÍEN LLAMAMIENTOS LO ANTES POSIBLE Y NO MÁS TARDE DEL: </w:t>
      </w:r>
      <w:r w:rsidRPr="00D05241">
        <w:rPr>
          <w:rFonts w:ascii="Arial" w:hAnsi="Arial" w:cs="Arial"/>
          <w:sz w:val="19"/>
          <w:szCs w:val="19"/>
          <w:lang w:val="es"/>
        </w:rPr>
        <w:t>11 de mayo de 2023</w:t>
      </w:r>
      <w:sdt>
        <w:sdtPr>
          <w:rPr>
            <w:rFonts w:ascii="Arial" w:hAnsi="Arial" w:cs="Arial"/>
            <w:color w:val="2B579A"/>
            <w:sz w:val="19"/>
            <w:szCs w:val="19"/>
            <w:shd w:val="clear" w:color="auto" w:fill="E6E6E6"/>
          </w:rPr>
          <w:tag w:val="goog_rdk_150"/>
          <w:id w:val="2040584024"/>
          <w:placeholder>
            <w:docPart w:val="2B32F14D8D4D428E9260A58B18E1235A"/>
          </w:placeholder>
        </w:sdtPr>
        <w:sdtEndPr>
          <w:rPr>
            <w:color w:val="000000"/>
            <w:shd w:val="clear" w:color="auto" w:fill="auto"/>
          </w:rPr>
        </w:sdtEndPr>
        <w:sdtContent/>
      </w:sdt>
    </w:p>
    <w:p w14:paraId="149B63EA" w14:textId="1C87D869" w:rsidR="00901A6C" w:rsidRPr="00D05241" w:rsidRDefault="00901A6C" w:rsidP="00901A6C">
      <w:pPr>
        <w:spacing w:after="0"/>
        <w:rPr>
          <w:rFonts w:ascii="Arial" w:eastAsia="Arial" w:hAnsi="Arial" w:cs="Arial"/>
          <w:sz w:val="19"/>
          <w:szCs w:val="19"/>
          <w:lang w:val="es-ES"/>
        </w:rPr>
      </w:pPr>
      <w:r w:rsidRPr="00D05241">
        <w:rPr>
          <w:rFonts w:ascii="Arial" w:eastAsia="Arial" w:hAnsi="Arial" w:cs="Arial"/>
          <w:sz w:val="19"/>
          <w:szCs w:val="19"/>
          <w:lang w:val="es"/>
        </w:rPr>
        <w:t>Consulten con la oficina de Amnistía Internacional de su país si desean enviar llamamientos después de la fecha indicada.</w:t>
      </w:r>
    </w:p>
    <w:p w14:paraId="2854CAC5" w14:textId="77777777" w:rsidR="00901A6C" w:rsidRPr="00D05241" w:rsidRDefault="00901A6C" w:rsidP="00901A6C">
      <w:pPr>
        <w:spacing w:after="0"/>
        <w:rPr>
          <w:rFonts w:ascii="Arial" w:eastAsia="Arial" w:hAnsi="Arial" w:cs="Arial"/>
          <w:b/>
          <w:sz w:val="19"/>
          <w:szCs w:val="19"/>
          <w:lang w:val="es-ES"/>
        </w:rPr>
      </w:pPr>
    </w:p>
    <w:sdt>
      <w:sdtPr>
        <w:rPr>
          <w:rFonts w:ascii="Arial" w:hAnsi="Arial" w:cs="Arial"/>
          <w:color w:val="2B579A"/>
          <w:sz w:val="19"/>
          <w:szCs w:val="19"/>
          <w:shd w:val="clear" w:color="auto" w:fill="E6E6E6"/>
        </w:rPr>
        <w:tag w:val="goog_rdk_152"/>
        <w:id w:val="892087345"/>
      </w:sdtPr>
      <w:sdtEndPr>
        <w:rPr>
          <w:color w:val="000000"/>
          <w:shd w:val="clear" w:color="auto" w:fill="auto"/>
        </w:rPr>
      </w:sdtEndPr>
      <w:sdtContent>
        <w:p w14:paraId="57F3BB56" w14:textId="5221BEC3" w:rsidR="00901A6C" w:rsidRPr="00D05241" w:rsidRDefault="00901A6C" w:rsidP="00901A6C">
          <w:pPr>
            <w:spacing w:after="0"/>
            <w:rPr>
              <w:rFonts w:ascii="Arial" w:eastAsia="Arial" w:hAnsi="Arial" w:cs="Arial"/>
              <w:sz w:val="19"/>
              <w:szCs w:val="19"/>
            </w:rPr>
          </w:pPr>
          <w:r w:rsidRPr="00D05241">
            <w:rPr>
              <w:rFonts w:ascii="Arial" w:hAnsi="Arial" w:cs="Arial"/>
              <w:b/>
              <w:bCs/>
              <w:sz w:val="19"/>
              <w:szCs w:val="19"/>
              <w:lang w:val="es"/>
            </w:rPr>
            <w:t xml:space="preserve">NOMBRE Y GÉNERO GRAMATICAL PREFERIDO: </w:t>
          </w:r>
          <w:proofErr w:type="spellStart"/>
          <w:r w:rsidRPr="00D05241">
            <w:rPr>
              <w:rFonts w:ascii="Arial" w:hAnsi="Arial" w:cs="Arial"/>
              <w:b/>
              <w:bCs/>
              <w:sz w:val="19"/>
              <w:szCs w:val="19"/>
              <w:lang w:val="es"/>
            </w:rPr>
            <w:t>Haris</w:t>
          </w:r>
          <w:proofErr w:type="spellEnd"/>
          <w:r w:rsidRPr="00D05241">
            <w:rPr>
              <w:rFonts w:ascii="Arial" w:hAnsi="Arial" w:cs="Arial"/>
              <w:b/>
              <w:bCs/>
              <w:sz w:val="19"/>
              <w:szCs w:val="19"/>
              <w:lang w:val="es"/>
            </w:rPr>
            <w:t xml:space="preserve"> </w:t>
          </w:r>
          <w:proofErr w:type="spellStart"/>
          <w:r w:rsidRPr="00D05241">
            <w:rPr>
              <w:rFonts w:ascii="Arial" w:hAnsi="Arial" w:cs="Arial"/>
              <w:b/>
              <w:bCs/>
              <w:sz w:val="19"/>
              <w:szCs w:val="19"/>
              <w:lang w:val="es"/>
            </w:rPr>
            <w:t>Azhar</w:t>
          </w:r>
          <w:proofErr w:type="spellEnd"/>
          <w:r w:rsidRPr="00D05241">
            <w:rPr>
              <w:rFonts w:ascii="Arial" w:hAnsi="Arial" w:cs="Arial"/>
              <w:b/>
              <w:bCs/>
              <w:sz w:val="19"/>
              <w:szCs w:val="19"/>
              <w:lang w:val="es"/>
            </w:rPr>
            <w:t xml:space="preserve"> (masculino) y </w:t>
          </w:r>
          <w:proofErr w:type="spellStart"/>
          <w:r w:rsidRPr="00D05241">
            <w:rPr>
              <w:rFonts w:ascii="Arial" w:hAnsi="Arial" w:cs="Arial"/>
              <w:b/>
              <w:bCs/>
              <w:sz w:val="19"/>
              <w:szCs w:val="19"/>
              <w:lang w:val="es"/>
            </w:rPr>
            <w:t>Fatia</w:t>
          </w:r>
          <w:proofErr w:type="spellEnd"/>
          <w:r w:rsidRPr="00D05241">
            <w:rPr>
              <w:rFonts w:ascii="Arial" w:hAnsi="Arial" w:cs="Arial"/>
              <w:b/>
              <w:bCs/>
              <w:sz w:val="19"/>
              <w:szCs w:val="19"/>
              <w:lang w:val="es"/>
            </w:rPr>
            <w:t xml:space="preserve"> </w:t>
          </w:r>
          <w:proofErr w:type="spellStart"/>
          <w:r w:rsidRPr="00D05241">
            <w:rPr>
              <w:rFonts w:ascii="Arial" w:hAnsi="Arial" w:cs="Arial"/>
              <w:b/>
              <w:bCs/>
              <w:sz w:val="19"/>
              <w:szCs w:val="19"/>
              <w:lang w:val="es"/>
            </w:rPr>
            <w:t>Maulidiyanti</w:t>
          </w:r>
          <w:proofErr w:type="spellEnd"/>
          <w:r w:rsidRPr="00D05241">
            <w:rPr>
              <w:rFonts w:ascii="Arial" w:hAnsi="Arial" w:cs="Arial"/>
              <w:b/>
              <w:bCs/>
              <w:sz w:val="19"/>
              <w:szCs w:val="19"/>
              <w:lang w:val="es"/>
            </w:rPr>
            <w:t xml:space="preserve"> (femenino)</w:t>
          </w:r>
          <w:r w:rsidRPr="00D05241">
            <w:rPr>
              <w:rFonts w:ascii="Arial" w:hAnsi="Arial" w:cs="Arial"/>
              <w:sz w:val="19"/>
              <w:szCs w:val="19"/>
              <w:lang w:val="es"/>
            </w:rPr>
            <w:t xml:space="preserve"> </w:t>
          </w:r>
          <w:sdt>
            <w:sdtPr>
              <w:rPr>
                <w:rFonts w:ascii="Arial" w:hAnsi="Arial" w:cs="Arial"/>
                <w:color w:val="2B579A"/>
                <w:sz w:val="19"/>
                <w:szCs w:val="19"/>
                <w:shd w:val="clear" w:color="auto" w:fill="E6E6E6"/>
              </w:rPr>
              <w:tag w:val="goog_rdk_151"/>
              <w:id w:val="49041243"/>
              <w:placeholder>
                <w:docPart w:val="2B32F14D8D4D428E9260A58B18E1235A"/>
              </w:placeholder>
            </w:sdtPr>
            <w:sdtEndPr>
              <w:rPr>
                <w:color w:val="000000"/>
                <w:shd w:val="clear" w:color="auto" w:fill="auto"/>
              </w:rPr>
            </w:sdtEndPr>
            <w:sdtContent/>
          </w:sdt>
        </w:p>
      </w:sdtContent>
    </w:sdt>
    <w:sdt>
      <w:sdtPr>
        <w:rPr>
          <w:rFonts w:ascii="Arial" w:hAnsi="Arial" w:cs="Arial"/>
          <w:color w:val="2B579A"/>
          <w:sz w:val="19"/>
          <w:szCs w:val="19"/>
          <w:shd w:val="clear" w:color="auto" w:fill="E6E6E6"/>
        </w:rPr>
        <w:tag w:val="goog_rdk_154"/>
        <w:id w:val="-126240528"/>
      </w:sdtPr>
      <w:sdtEndPr>
        <w:rPr>
          <w:color w:val="000000"/>
          <w:shd w:val="clear" w:color="auto" w:fill="auto"/>
        </w:rPr>
      </w:sdtEndPr>
      <w:sdtContent>
        <w:p w14:paraId="3C66AEEE" w14:textId="77777777" w:rsidR="00901A6C" w:rsidRPr="00D05241" w:rsidRDefault="00D05241" w:rsidP="00901A6C">
          <w:pPr>
            <w:spacing w:after="0"/>
            <w:rPr>
              <w:rFonts w:ascii="Arial" w:eastAsia="Arial" w:hAnsi="Arial" w:cs="Arial"/>
              <w:sz w:val="19"/>
              <w:szCs w:val="19"/>
            </w:rPr>
          </w:pPr>
          <w:sdt>
            <w:sdtPr>
              <w:rPr>
                <w:rFonts w:ascii="Arial" w:hAnsi="Arial" w:cs="Arial"/>
                <w:color w:val="2B579A"/>
                <w:sz w:val="19"/>
                <w:szCs w:val="19"/>
                <w:shd w:val="clear" w:color="auto" w:fill="E6E6E6"/>
              </w:rPr>
              <w:tag w:val="goog_rdk_153"/>
              <w:id w:val="1026005817"/>
              <w:placeholder>
                <w:docPart w:val="2B32F14D8D4D428E9260A58B18E1235A"/>
              </w:placeholder>
              <w:showingPlcHdr/>
            </w:sdtPr>
            <w:sdtEndPr>
              <w:rPr>
                <w:color w:val="000000"/>
                <w:shd w:val="clear" w:color="auto" w:fill="auto"/>
              </w:rPr>
            </w:sdtEndPr>
            <w:sdtContent/>
          </w:sdt>
        </w:p>
      </w:sdtContent>
    </w:sdt>
    <w:p w14:paraId="3B4180C8" w14:textId="58E59B78" w:rsidR="00B92AEC" w:rsidRPr="00D05241" w:rsidRDefault="00D05241" w:rsidP="00A759DF">
      <w:pPr>
        <w:spacing w:after="0"/>
        <w:rPr>
          <w:rFonts w:ascii="Arial" w:hAnsi="Arial" w:cs="Arial"/>
        </w:rPr>
      </w:pPr>
      <w:sdt>
        <w:sdtPr>
          <w:rPr>
            <w:rFonts w:ascii="Arial" w:hAnsi="Arial" w:cs="Arial"/>
            <w:color w:val="2B579A"/>
            <w:sz w:val="19"/>
            <w:szCs w:val="19"/>
            <w:shd w:val="clear" w:color="auto" w:fill="E6E6E6"/>
          </w:rPr>
          <w:tag w:val="goog_rdk_155"/>
          <w:id w:val="1796045269"/>
          <w:placeholder>
            <w:docPart w:val="2B32F14D8D4D428E9260A58B18E1235A"/>
          </w:placeholder>
        </w:sdtPr>
        <w:sdtEndPr>
          <w:rPr>
            <w:color w:val="000000"/>
            <w:shd w:val="clear" w:color="auto" w:fill="auto"/>
          </w:rPr>
        </w:sdtEndPr>
        <w:sdtContent>
          <w:sdt>
            <w:sdtPr>
              <w:rPr>
                <w:rFonts w:ascii="Arial" w:hAnsi="Arial" w:cs="Arial"/>
                <w:color w:val="2B579A"/>
                <w:sz w:val="19"/>
                <w:szCs w:val="19"/>
                <w:shd w:val="clear" w:color="auto" w:fill="E6E6E6"/>
              </w:rPr>
              <w:tag w:val="goog_rdk_156"/>
              <w:id w:val="163495434"/>
              <w:placeholder>
                <w:docPart w:val="2B32F14D8D4D428E9260A58B18E1235A"/>
              </w:placeholder>
            </w:sdtPr>
            <w:sdtEndPr>
              <w:rPr>
                <w:color w:val="000000"/>
                <w:shd w:val="clear" w:color="auto" w:fill="auto"/>
              </w:rPr>
            </w:sdtEndPr>
            <w:sdtContent/>
          </w:sdt>
          <w:r w:rsidR="00763ADA" w:rsidRPr="00D05241">
            <w:rPr>
              <w:rFonts w:ascii="Arial" w:hAnsi="Arial" w:cs="Arial"/>
              <w:b/>
              <w:bCs/>
              <w:sz w:val="19"/>
              <w:szCs w:val="19"/>
              <w:lang w:val="es"/>
            </w:rPr>
            <w:t>ENLACE A LA AU ANTERIOR:</w:t>
          </w:r>
        </w:sdtContent>
      </w:sdt>
      <w:r w:rsidR="00763ADA" w:rsidRPr="00D05241">
        <w:rPr>
          <w:rFonts w:ascii="Arial" w:hAnsi="Arial" w:cs="Arial"/>
          <w:b/>
          <w:bCs/>
          <w:sz w:val="19"/>
          <w:szCs w:val="19"/>
          <w:lang w:val="es"/>
        </w:rPr>
        <w:t xml:space="preserve"> </w:t>
      </w:r>
      <w:hyperlink r:id="rId7" w:history="1">
        <w:r w:rsidR="00C835B4" w:rsidRPr="00D05241">
          <w:rPr>
            <w:rStyle w:val="Hipervnculo"/>
            <w:rFonts w:ascii="Arial" w:hAnsi="Arial" w:cs="Arial"/>
            <w:b/>
            <w:bCs/>
            <w:sz w:val="19"/>
            <w:szCs w:val="19"/>
            <w:lang w:val="es"/>
          </w:rPr>
          <w:t>https://www.amnesty.org/es/documents/asa21/5461/2022/es/</w:t>
        </w:r>
      </w:hyperlink>
      <w:r w:rsidR="00C835B4" w:rsidRPr="00D05241">
        <w:rPr>
          <w:rFonts w:ascii="Arial" w:hAnsi="Arial" w:cs="Arial"/>
          <w:b/>
          <w:bCs/>
          <w:sz w:val="19"/>
          <w:szCs w:val="19"/>
          <w:lang w:val="es"/>
        </w:rPr>
        <w:t xml:space="preserve"> </w:t>
      </w:r>
    </w:p>
    <w:sectPr w:rsidR="00B92AEC" w:rsidRPr="00D05241" w:rsidSect="00D05241">
      <w:headerReference w:type="default" r:id="rId8"/>
      <w:headerReference w:type="first" r:id="rId9"/>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7908" w14:textId="77777777" w:rsidR="007E656E" w:rsidRDefault="007E656E">
      <w:r>
        <w:separator/>
      </w:r>
    </w:p>
  </w:endnote>
  <w:endnote w:type="continuationSeparator" w:id="0">
    <w:p w14:paraId="626D1494" w14:textId="77777777" w:rsidR="007E656E" w:rsidRDefault="007E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78D8" w14:textId="77777777" w:rsidR="007E656E" w:rsidRDefault="007E656E">
      <w:r>
        <w:separator/>
      </w:r>
    </w:p>
  </w:footnote>
  <w:footnote w:type="continuationSeparator" w:id="0">
    <w:p w14:paraId="6131017B" w14:textId="77777777" w:rsidR="007E656E" w:rsidRDefault="007E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8CEF" w14:textId="6DB16BF3" w:rsidR="00355617" w:rsidRPr="00C835B4" w:rsidRDefault="00F74353" w:rsidP="0082127B">
    <w:pPr>
      <w:tabs>
        <w:tab w:val="left" w:pos="6060"/>
        <w:tab w:val="right" w:pos="10203"/>
      </w:tabs>
      <w:spacing w:after="0"/>
      <w:rPr>
        <w:sz w:val="16"/>
        <w:szCs w:val="16"/>
        <w:lang w:val="es-ES"/>
      </w:rPr>
    </w:pPr>
    <w:r>
      <w:rPr>
        <w:sz w:val="16"/>
        <w:szCs w:val="16"/>
        <w:lang w:val="es"/>
      </w:rPr>
      <w:t xml:space="preserve">Tercera AU: </w:t>
    </w:r>
    <w:r>
      <w:rPr>
        <w:rStyle w:val="ui-provider"/>
        <w:sz w:val="16"/>
        <w:szCs w:val="16"/>
        <w:lang w:val="es"/>
      </w:rPr>
      <w:t>107/21</w:t>
    </w:r>
    <w:r>
      <w:rPr>
        <w:sz w:val="16"/>
        <w:szCs w:val="16"/>
        <w:lang w:val="es"/>
      </w:rPr>
      <w:t xml:space="preserve"> Índice: </w:t>
    </w:r>
    <w:r>
      <w:rPr>
        <w:color w:val="444444"/>
        <w:sz w:val="16"/>
        <w:szCs w:val="16"/>
        <w:lang w:val="es"/>
      </w:rPr>
      <w:t>ASA 21/6557/2023</w:t>
    </w:r>
    <w:r>
      <w:rPr>
        <w:sz w:val="16"/>
        <w:szCs w:val="16"/>
        <w:lang w:val="es"/>
      </w:rPr>
      <w:t xml:space="preserve"> Indonesia</w:t>
    </w:r>
    <w:r>
      <w:rPr>
        <w:sz w:val="16"/>
        <w:szCs w:val="16"/>
        <w:lang w:val="es"/>
      </w:rPr>
      <w:tab/>
    </w:r>
    <w:r>
      <w:rPr>
        <w:sz w:val="16"/>
        <w:szCs w:val="16"/>
        <w:lang w:val="es"/>
      </w:rPr>
      <w:tab/>
      <w:t>Fecha: 16 de marzo de 2023</w:t>
    </w:r>
  </w:p>
  <w:p w14:paraId="40D3A336" w14:textId="77777777" w:rsidR="007A3AEA" w:rsidRPr="00C835B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2B1" w14:textId="77777777" w:rsidR="00E45B15" w:rsidRDefault="00E45B15" w:rsidP="00D35879">
    <w:pPr>
      <w:pStyle w:val="Encabezado"/>
    </w:pPr>
  </w:p>
  <w:p w14:paraId="3A350A2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7.9pt;height:7.9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A036B54"/>
    <w:multiLevelType w:val="hybridMultilevel"/>
    <w:tmpl w:val="A9885AB4"/>
    <w:lvl w:ilvl="0" w:tplc="18C823A2">
      <w:start w:val="1"/>
      <w:numFmt w:val="bullet"/>
      <w:lvlText w:val=""/>
      <w:lvlJc w:val="left"/>
      <w:pPr>
        <w:ind w:left="720" w:hanging="360"/>
      </w:pPr>
      <w:rPr>
        <w:rFonts w:ascii="Symbol" w:hAnsi="Symbol" w:hint="default"/>
      </w:rPr>
    </w:lvl>
    <w:lvl w:ilvl="1" w:tplc="6D747382">
      <w:start w:val="1"/>
      <w:numFmt w:val="bullet"/>
      <w:lvlText w:val="o"/>
      <w:lvlJc w:val="left"/>
      <w:pPr>
        <w:ind w:left="1440" w:hanging="360"/>
      </w:pPr>
      <w:rPr>
        <w:rFonts w:ascii="Courier New" w:hAnsi="Courier New" w:hint="default"/>
      </w:rPr>
    </w:lvl>
    <w:lvl w:ilvl="2" w:tplc="BF06E928">
      <w:start w:val="1"/>
      <w:numFmt w:val="bullet"/>
      <w:lvlText w:val=""/>
      <w:lvlJc w:val="left"/>
      <w:pPr>
        <w:ind w:left="2160" w:hanging="360"/>
      </w:pPr>
      <w:rPr>
        <w:rFonts w:ascii="Wingdings" w:hAnsi="Wingdings" w:hint="default"/>
      </w:rPr>
    </w:lvl>
    <w:lvl w:ilvl="3" w:tplc="526A3F3A">
      <w:start w:val="1"/>
      <w:numFmt w:val="bullet"/>
      <w:lvlText w:val=""/>
      <w:lvlJc w:val="left"/>
      <w:pPr>
        <w:ind w:left="2880" w:hanging="360"/>
      </w:pPr>
      <w:rPr>
        <w:rFonts w:ascii="Symbol" w:hAnsi="Symbol" w:hint="default"/>
      </w:rPr>
    </w:lvl>
    <w:lvl w:ilvl="4" w:tplc="DEAE3A44">
      <w:start w:val="1"/>
      <w:numFmt w:val="bullet"/>
      <w:lvlText w:val="o"/>
      <w:lvlJc w:val="left"/>
      <w:pPr>
        <w:ind w:left="3600" w:hanging="360"/>
      </w:pPr>
      <w:rPr>
        <w:rFonts w:ascii="Courier New" w:hAnsi="Courier New" w:hint="default"/>
      </w:rPr>
    </w:lvl>
    <w:lvl w:ilvl="5" w:tplc="90E40706">
      <w:start w:val="1"/>
      <w:numFmt w:val="bullet"/>
      <w:lvlText w:val=""/>
      <w:lvlJc w:val="left"/>
      <w:pPr>
        <w:ind w:left="4320" w:hanging="360"/>
      </w:pPr>
      <w:rPr>
        <w:rFonts w:ascii="Wingdings" w:hAnsi="Wingdings" w:hint="default"/>
      </w:rPr>
    </w:lvl>
    <w:lvl w:ilvl="6" w:tplc="B5481DA8">
      <w:start w:val="1"/>
      <w:numFmt w:val="bullet"/>
      <w:lvlText w:val=""/>
      <w:lvlJc w:val="left"/>
      <w:pPr>
        <w:ind w:left="5040" w:hanging="360"/>
      </w:pPr>
      <w:rPr>
        <w:rFonts w:ascii="Symbol" w:hAnsi="Symbol" w:hint="default"/>
      </w:rPr>
    </w:lvl>
    <w:lvl w:ilvl="7" w:tplc="3CBC5ABE">
      <w:start w:val="1"/>
      <w:numFmt w:val="bullet"/>
      <w:lvlText w:val="o"/>
      <w:lvlJc w:val="left"/>
      <w:pPr>
        <w:ind w:left="5760" w:hanging="360"/>
      </w:pPr>
      <w:rPr>
        <w:rFonts w:ascii="Courier New" w:hAnsi="Courier New" w:hint="default"/>
      </w:rPr>
    </w:lvl>
    <w:lvl w:ilvl="8" w:tplc="9C504B18">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662118">
    <w:abstractNumId w:val="0"/>
  </w:num>
  <w:num w:numId="2" w16cid:durableId="157504321">
    <w:abstractNumId w:val="21"/>
  </w:num>
  <w:num w:numId="3" w16cid:durableId="2129005259">
    <w:abstractNumId w:val="20"/>
  </w:num>
  <w:num w:numId="4" w16cid:durableId="2060587536">
    <w:abstractNumId w:val="9"/>
  </w:num>
  <w:num w:numId="5" w16cid:durableId="1435710964">
    <w:abstractNumId w:val="3"/>
  </w:num>
  <w:num w:numId="6" w16cid:durableId="2053115137">
    <w:abstractNumId w:val="19"/>
  </w:num>
  <w:num w:numId="7" w16cid:durableId="1706364849">
    <w:abstractNumId w:val="17"/>
  </w:num>
  <w:num w:numId="8" w16cid:durableId="1491601923">
    <w:abstractNumId w:val="8"/>
  </w:num>
  <w:num w:numId="9" w16cid:durableId="1263759206">
    <w:abstractNumId w:val="7"/>
  </w:num>
  <w:num w:numId="10" w16cid:durableId="868102691">
    <w:abstractNumId w:val="12"/>
  </w:num>
  <w:num w:numId="11" w16cid:durableId="357849348">
    <w:abstractNumId w:val="5"/>
  </w:num>
  <w:num w:numId="12" w16cid:durableId="1351762985">
    <w:abstractNumId w:val="14"/>
  </w:num>
  <w:num w:numId="13" w16cid:durableId="928778167">
    <w:abstractNumId w:val="15"/>
  </w:num>
  <w:num w:numId="14" w16cid:durableId="1975015453">
    <w:abstractNumId w:val="1"/>
  </w:num>
  <w:num w:numId="15" w16cid:durableId="1890216675">
    <w:abstractNumId w:val="18"/>
  </w:num>
  <w:num w:numId="16" w16cid:durableId="1976720681">
    <w:abstractNumId w:val="10"/>
  </w:num>
  <w:num w:numId="17" w16cid:durableId="917403466">
    <w:abstractNumId w:val="11"/>
  </w:num>
  <w:num w:numId="18" w16cid:durableId="1300500810">
    <w:abstractNumId w:val="4"/>
  </w:num>
  <w:num w:numId="19" w16cid:durableId="1674525663">
    <w:abstractNumId w:val="6"/>
  </w:num>
  <w:num w:numId="20" w16cid:durableId="190456235">
    <w:abstractNumId w:val="16"/>
  </w:num>
  <w:num w:numId="21" w16cid:durableId="240406847">
    <w:abstractNumId w:val="2"/>
  </w:num>
  <w:num w:numId="22" w16cid:durableId="570428781">
    <w:abstractNumId w:val="22"/>
  </w:num>
  <w:num w:numId="23" w16cid:durableId="193065575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C38"/>
    <w:rsid w:val="00001383"/>
    <w:rsid w:val="00004D79"/>
    <w:rsid w:val="000058B2"/>
    <w:rsid w:val="00006629"/>
    <w:rsid w:val="0002386F"/>
    <w:rsid w:val="000534EE"/>
    <w:rsid w:val="00057A7E"/>
    <w:rsid w:val="00076037"/>
    <w:rsid w:val="00083462"/>
    <w:rsid w:val="00084C4D"/>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82C"/>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34C38"/>
    <w:rsid w:val="004408A1"/>
    <w:rsid w:val="00442E5B"/>
    <w:rsid w:val="0044379B"/>
    <w:rsid w:val="00445D50"/>
    <w:rsid w:val="00453538"/>
    <w:rsid w:val="004603A2"/>
    <w:rsid w:val="00480730"/>
    <w:rsid w:val="00486088"/>
    <w:rsid w:val="00492FA8"/>
    <w:rsid w:val="004A1BDD"/>
    <w:rsid w:val="004B1E15"/>
    <w:rsid w:val="004B2367"/>
    <w:rsid w:val="004B381D"/>
    <w:rsid w:val="004C265C"/>
    <w:rsid w:val="004C71F5"/>
    <w:rsid w:val="004D362F"/>
    <w:rsid w:val="004D41DC"/>
    <w:rsid w:val="0050032F"/>
    <w:rsid w:val="00504FBC"/>
    <w:rsid w:val="005178F5"/>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3D70"/>
    <w:rsid w:val="0064718C"/>
    <w:rsid w:val="0065049B"/>
    <w:rsid w:val="00650D73"/>
    <w:rsid w:val="006558EE"/>
    <w:rsid w:val="00657231"/>
    <w:rsid w:val="00667FBC"/>
    <w:rsid w:val="0069571A"/>
    <w:rsid w:val="006A0BB9"/>
    <w:rsid w:val="006B12FA"/>
    <w:rsid w:val="006B461E"/>
    <w:rsid w:val="006C3C21"/>
    <w:rsid w:val="006C7A31"/>
    <w:rsid w:val="006D46D9"/>
    <w:rsid w:val="006F4C28"/>
    <w:rsid w:val="0070364E"/>
    <w:rsid w:val="007104E8"/>
    <w:rsid w:val="007156FC"/>
    <w:rsid w:val="00716942"/>
    <w:rsid w:val="007173E9"/>
    <w:rsid w:val="00727519"/>
    <w:rsid w:val="00727CA7"/>
    <w:rsid w:val="0073431C"/>
    <w:rsid w:val="00763ADA"/>
    <w:rsid w:val="007656E7"/>
    <w:rsid w:val="007666A4"/>
    <w:rsid w:val="00773365"/>
    <w:rsid w:val="00781624"/>
    <w:rsid w:val="00781E3C"/>
    <w:rsid w:val="007858BA"/>
    <w:rsid w:val="007A14FE"/>
    <w:rsid w:val="007A2ABA"/>
    <w:rsid w:val="007A3AEA"/>
    <w:rsid w:val="007A7F97"/>
    <w:rsid w:val="007B4F3E"/>
    <w:rsid w:val="007B7197"/>
    <w:rsid w:val="007C6CD0"/>
    <w:rsid w:val="007E656E"/>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1A6C"/>
    <w:rsid w:val="00902730"/>
    <w:rsid w:val="00906C9F"/>
    <w:rsid w:val="00921577"/>
    <w:rsid w:val="009259E1"/>
    <w:rsid w:val="00925D67"/>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759DF"/>
    <w:rsid w:val="00A81673"/>
    <w:rsid w:val="00A90EA6"/>
    <w:rsid w:val="00AB5744"/>
    <w:rsid w:val="00AB5C6E"/>
    <w:rsid w:val="00AB7E5D"/>
    <w:rsid w:val="00AC15B7"/>
    <w:rsid w:val="00AC367F"/>
    <w:rsid w:val="00AC6B41"/>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32F3"/>
    <w:rsid w:val="00C162AD"/>
    <w:rsid w:val="00C17D6F"/>
    <w:rsid w:val="00C359CF"/>
    <w:rsid w:val="00C370BB"/>
    <w:rsid w:val="00C415B8"/>
    <w:rsid w:val="00C460DB"/>
    <w:rsid w:val="00C50CEC"/>
    <w:rsid w:val="00C538D1"/>
    <w:rsid w:val="00C607FB"/>
    <w:rsid w:val="00C76EE0"/>
    <w:rsid w:val="00C8330C"/>
    <w:rsid w:val="00C835B4"/>
    <w:rsid w:val="00C85BFA"/>
    <w:rsid w:val="00C85EFE"/>
    <w:rsid w:val="00C934DE"/>
    <w:rsid w:val="00C93CB2"/>
    <w:rsid w:val="00CA13A3"/>
    <w:rsid w:val="00CA51AF"/>
    <w:rsid w:val="00CA5CB1"/>
    <w:rsid w:val="00CD2995"/>
    <w:rsid w:val="00CE4377"/>
    <w:rsid w:val="00CF7805"/>
    <w:rsid w:val="00D007F8"/>
    <w:rsid w:val="00D030C9"/>
    <w:rsid w:val="00D05241"/>
    <w:rsid w:val="00D05A52"/>
    <w:rsid w:val="00D114C6"/>
    <w:rsid w:val="00D142D0"/>
    <w:rsid w:val="00D23D90"/>
    <w:rsid w:val="00D26BF9"/>
    <w:rsid w:val="00D35879"/>
    <w:rsid w:val="00D47210"/>
    <w:rsid w:val="00D54217"/>
    <w:rsid w:val="00D62977"/>
    <w:rsid w:val="00D635A1"/>
    <w:rsid w:val="00D6411A"/>
    <w:rsid w:val="00D67ABF"/>
    <w:rsid w:val="00D749E6"/>
    <w:rsid w:val="00D82893"/>
    <w:rsid w:val="00D834E2"/>
    <w:rsid w:val="00D839E9"/>
    <w:rsid w:val="00D844EE"/>
    <w:rsid w:val="00D847F8"/>
    <w:rsid w:val="00D90465"/>
    <w:rsid w:val="00DB7D74"/>
    <w:rsid w:val="00DC65A4"/>
    <w:rsid w:val="00DD16D5"/>
    <w:rsid w:val="00DD346F"/>
    <w:rsid w:val="00DF1141"/>
    <w:rsid w:val="00DF3644"/>
    <w:rsid w:val="00DF3DF5"/>
    <w:rsid w:val="00DF63A6"/>
    <w:rsid w:val="00E028CA"/>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287F"/>
    <w:rsid w:val="00F25445"/>
    <w:rsid w:val="00F322A8"/>
    <w:rsid w:val="00F3436F"/>
    <w:rsid w:val="00F45927"/>
    <w:rsid w:val="00F65D4B"/>
    <w:rsid w:val="00F74353"/>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72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semiHidden/>
    <w:rsid w:val="00901A6C"/>
    <w:rPr>
      <w:rFonts w:ascii="Amnesty Trade Gothic" w:hAnsi="Amnesty Trade Gothic"/>
      <w:color w:val="000000"/>
      <w:lang w:eastAsia="ar-SA"/>
    </w:rPr>
  </w:style>
  <w:style w:type="character" w:styleId="Mencionar">
    <w:name w:val="Mention"/>
    <w:basedOn w:val="Fuentedeprrafopredeter"/>
    <w:uiPriority w:val="99"/>
    <w:unhideWhenUsed/>
    <w:rsid w:val="00901A6C"/>
    <w:rPr>
      <w:color w:val="2B579A"/>
      <w:shd w:val="clear" w:color="auto" w:fill="E6E6E6"/>
    </w:rPr>
  </w:style>
  <w:style w:type="character" w:customStyle="1" w:styleId="ui-provider">
    <w:name w:val="ui-provider"/>
    <w:basedOn w:val="Fuentedeprrafopredeter"/>
    <w:rsid w:val="0064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sa21/5461/2022/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32F14D8D4D428E9260A58B18E1235A"/>
        <w:category>
          <w:name w:val="General"/>
          <w:gallery w:val="placeholder"/>
        </w:category>
        <w:types>
          <w:type w:val="bbPlcHdr"/>
        </w:types>
        <w:behaviors>
          <w:behavior w:val="content"/>
        </w:behaviors>
        <w:guid w:val="{827B6F2B-953F-44BE-9F51-9DD1AB8EF9AD}"/>
      </w:docPartPr>
      <w:docPartBody>
        <w:p w:rsidR="00516016" w:rsidRDefault="00516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16"/>
    <w:rsid w:val="00516016"/>
    <w:rsid w:val="00BB6A0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7036</Characters>
  <Application>Microsoft Office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2023-03-21T13:53:00Z</dcterms:created>
  <dcterms:modified xsi:type="dcterms:W3CDTF">2023-03-21T13:53:00Z</dcterms:modified>
</cp:coreProperties>
</file>