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6A07D" w14:textId="77777777" w:rsidR="00D23D90" w:rsidRPr="00980425" w:rsidRDefault="00D23D90" w:rsidP="00980425">
      <w:pPr>
        <w:pStyle w:val="Encabezado"/>
        <w:shd w:val="clear" w:color="auto" w:fill="FFFFFF" w:themeFill="background1"/>
        <w:spacing w:after="0"/>
        <w:ind w:left="-283"/>
        <w:jc w:val="right"/>
        <w:rPr>
          <w:b/>
          <w:color w:val="FFFF00"/>
          <w:sz w:val="24"/>
        </w:rPr>
      </w:pPr>
    </w:p>
    <w:p w14:paraId="18AF7FFA" w14:textId="77777777" w:rsidR="0034128A" w:rsidRPr="00B7185F" w:rsidRDefault="0034128A" w:rsidP="00980425">
      <w:pPr>
        <w:pStyle w:val="AIUrgentActionTopHeading"/>
        <w:tabs>
          <w:tab w:val="clear" w:pos="567"/>
        </w:tabs>
        <w:ind w:left="-283"/>
        <w:rPr>
          <w:rFonts w:ascii="Amnesty Trade Gothic Cn" w:hAnsi="Amnesty Trade Gothic Cn" w:cs="Arial"/>
          <w:sz w:val="100"/>
          <w:szCs w:val="100"/>
          <w:lang w:val="es-419"/>
        </w:rPr>
      </w:pPr>
      <w:r>
        <w:rPr>
          <w:rFonts w:ascii="Amnesty Trade Gothic Cn" w:hAnsi="Amnesty Trade Gothic Cn" w:cs="Arial"/>
          <w:bCs/>
          <w:sz w:val="100"/>
          <w:szCs w:val="100"/>
          <w:highlight w:val="yellow"/>
          <w:lang w:val="es"/>
        </w:rPr>
        <w:t>ACCIÓN URGENTE</w:t>
      </w:r>
    </w:p>
    <w:p w14:paraId="76BC4611" w14:textId="77777777" w:rsidR="005D2C37" w:rsidRPr="00B7185F" w:rsidRDefault="005D2C37" w:rsidP="00980425">
      <w:pPr>
        <w:pStyle w:val="Default"/>
        <w:ind w:left="-283"/>
        <w:rPr>
          <w:b/>
          <w:sz w:val="28"/>
          <w:szCs w:val="28"/>
          <w:lang w:val="es-419"/>
        </w:rPr>
      </w:pPr>
    </w:p>
    <w:p w14:paraId="48ED1961" w14:textId="13D297D2" w:rsidR="0034128A" w:rsidRPr="00B7185F" w:rsidRDefault="00353210" w:rsidP="338EF0BC">
      <w:pPr>
        <w:spacing w:after="0"/>
        <w:ind w:left="-283"/>
        <w:rPr>
          <w:rFonts w:ascii="Arial" w:hAnsi="Arial" w:cs="Arial"/>
          <w:b/>
          <w:bCs/>
          <w:i/>
          <w:iCs/>
          <w:sz w:val="32"/>
          <w:szCs w:val="36"/>
          <w:lang w:val="es-419"/>
        </w:rPr>
      </w:pPr>
      <w:r>
        <w:rPr>
          <w:rFonts w:ascii="Arial" w:hAnsi="Arial" w:cs="Arial"/>
          <w:b/>
          <w:bCs/>
          <w:sz w:val="32"/>
          <w:szCs w:val="36"/>
          <w:lang w:val="es"/>
        </w:rPr>
        <w:t>PERSONAS REFUGIADAS EN PERÚ, EN RIESGO DE EXPULSIÓN COLECTIVA</w:t>
      </w:r>
    </w:p>
    <w:p w14:paraId="02A5E659" w14:textId="54E12FAD" w:rsidR="0064432B" w:rsidRPr="00B7185F" w:rsidRDefault="00045DD4" w:rsidP="338EF0BC">
      <w:pPr>
        <w:ind w:left="-283"/>
        <w:rPr>
          <w:rFonts w:ascii="Arial" w:hAnsi="Arial" w:cs="Arial"/>
          <w:b/>
          <w:bCs/>
          <w:lang w:val="es-419"/>
        </w:rPr>
      </w:pPr>
      <w:r>
        <w:rPr>
          <w:rFonts w:ascii="Arial" w:hAnsi="Arial" w:cs="Arial"/>
          <w:b/>
          <w:bCs/>
          <w:lang w:val="es"/>
        </w:rPr>
        <w:t>La población venezolana en Perú ya no puede solicitar protección temporal, que permitía a las personas refugiadas tener una situación migratoria regular. El 14 de noviembre, el gobierno peruano emitió el Decreto Legislativo 1582, en el que dictaba la expulsión de todas las personas extranjeras en situación migratoria irregular, lo que ponía en riesgo a innumerables venezolanos y venezolanas que no podían solicitar protección temporal antes del plazo límite del 10 de noviembre. El proceso de 24 horas establecido para llevar a cabo las expulsiones es incompatible con las garantías de debido proceso, la prohibición de la no devolución (</w:t>
      </w:r>
      <w:r>
        <w:rPr>
          <w:rFonts w:ascii="Arial" w:hAnsi="Arial" w:cs="Arial"/>
          <w:b/>
          <w:bCs/>
          <w:i/>
          <w:iCs/>
          <w:lang w:val="es"/>
        </w:rPr>
        <w:t>non-</w:t>
      </w:r>
      <w:proofErr w:type="spellStart"/>
      <w:r>
        <w:rPr>
          <w:rFonts w:ascii="Arial" w:hAnsi="Arial" w:cs="Arial"/>
          <w:b/>
          <w:bCs/>
          <w:i/>
          <w:iCs/>
          <w:lang w:val="es"/>
        </w:rPr>
        <w:t>refoulement</w:t>
      </w:r>
      <w:proofErr w:type="spellEnd"/>
      <w:r>
        <w:rPr>
          <w:rFonts w:ascii="Arial" w:hAnsi="Arial" w:cs="Arial"/>
          <w:b/>
          <w:bCs/>
          <w:lang w:val="es"/>
        </w:rPr>
        <w:t>) y la obligación internacional de brindar protección a las personas de ciudadanía venezolana. Pedimos al gobierno peruano que derogue de inmediato este decreto.</w:t>
      </w:r>
    </w:p>
    <w:p w14:paraId="760DDE4F" w14:textId="77777777" w:rsidR="005D2C37" w:rsidRPr="00B7185F" w:rsidRDefault="005D2C37" w:rsidP="00980425">
      <w:pPr>
        <w:spacing w:after="0" w:line="240" w:lineRule="auto"/>
        <w:ind w:left="-283"/>
        <w:rPr>
          <w:rFonts w:ascii="Arial" w:hAnsi="Arial" w:cs="Arial"/>
          <w:b/>
          <w:color w:val="FF0000"/>
          <w:sz w:val="22"/>
          <w:lang w:val="es-419"/>
        </w:rPr>
      </w:pPr>
      <w:r>
        <w:rPr>
          <w:rFonts w:ascii="Arial" w:hAnsi="Arial" w:cs="Arial"/>
          <w:b/>
          <w:bCs/>
          <w:color w:val="FF0000"/>
          <w:sz w:val="22"/>
          <w:lang w:val="es"/>
        </w:rPr>
        <w:t>ACTÚEN: REDACTEN SU PROPIO LLAMAMIENTO O UTILICEN LA SIGUIENTE CARTA MODELO</w:t>
      </w:r>
    </w:p>
    <w:p w14:paraId="3091F4CF" w14:textId="432DA016" w:rsidR="005D2C37" w:rsidRPr="00B7185F" w:rsidRDefault="005D2C37" w:rsidP="009215B2">
      <w:pPr>
        <w:tabs>
          <w:tab w:val="left" w:pos="8039"/>
        </w:tabs>
        <w:spacing w:after="0" w:line="240" w:lineRule="auto"/>
        <w:ind w:left="-283"/>
        <w:rPr>
          <w:rFonts w:ascii="Arial" w:hAnsi="Arial" w:cs="Arial"/>
          <w:lang w:val="es-419"/>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44644"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r w:rsidR="003512CC">
        <w:rPr>
          <w:rFonts w:ascii="Arial" w:hAnsi="Arial" w:cs="Arial"/>
          <w:lang w:val="es-419"/>
        </w:rPr>
        <w:tab/>
      </w:r>
    </w:p>
    <w:p w14:paraId="3E0EFDA7" w14:textId="77777777" w:rsidR="00646ADB" w:rsidRPr="00B7185F" w:rsidRDefault="00646ADB" w:rsidP="00646ADB">
      <w:pPr>
        <w:spacing w:after="0" w:line="240" w:lineRule="auto"/>
        <w:ind w:left="-283"/>
        <w:jc w:val="right"/>
        <w:rPr>
          <w:rFonts w:cs="Arial"/>
          <w:b/>
          <w:i/>
          <w:sz w:val="20"/>
          <w:szCs w:val="20"/>
          <w:lang w:val="es-419"/>
        </w:rPr>
      </w:pPr>
      <w:r>
        <w:rPr>
          <w:rFonts w:cs="Arial"/>
          <w:b/>
          <w:bCs/>
          <w:i/>
          <w:iCs/>
          <w:sz w:val="20"/>
          <w:szCs w:val="20"/>
          <w:lang w:val="es"/>
        </w:rPr>
        <w:t>Sr. Alberto Otárola Peñaranda</w:t>
      </w:r>
    </w:p>
    <w:p w14:paraId="5724E984" w14:textId="77777777" w:rsidR="00BB7950" w:rsidRDefault="00646ADB" w:rsidP="00646ADB">
      <w:pPr>
        <w:spacing w:after="0" w:line="240" w:lineRule="auto"/>
        <w:ind w:left="-283"/>
        <w:jc w:val="right"/>
        <w:rPr>
          <w:rFonts w:cs="Arial"/>
          <w:bCs/>
          <w:i/>
          <w:sz w:val="20"/>
          <w:szCs w:val="20"/>
          <w:lang w:val="es-419"/>
        </w:rPr>
      </w:pPr>
      <w:r>
        <w:rPr>
          <w:rFonts w:cs="Arial"/>
          <w:i/>
          <w:iCs/>
          <w:sz w:val="20"/>
          <w:szCs w:val="20"/>
          <w:lang w:val="es"/>
        </w:rPr>
        <w:t xml:space="preserve">Presidencia del Consejo de </w:t>
      </w:r>
      <w:proofErr w:type="gramStart"/>
      <w:r>
        <w:rPr>
          <w:rFonts w:cs="Arial"/>
          <w:i/>
          <w:iCs/>
          <w:sz w:val="20"/>
          <w:szCs w:val="20"/>
          <w:lang w:val="es"/>
        </w:rPr>
        <w:t>Ministros</w:t>
      </w:r>
      <w:proofErr w:type="gramEnd"/>
    </w:p>
    <w:p w14:paraId="073538C1" w14:textId="42F33C0E" w:rsidR="00646ADB" w:rsidRPr="00B7185F" w:rsidRDefault="00646ADB" w:rsidP="00646ADB">
      <w:pPr>
        <w:spacing w:after="0" w:line="240" w:lineRule="auto"/>
        <w:ind w:left="-283"/>
        <w:jc w:val="right"/>
        <w:rPr>
          <w:rFonts w:cs="Arial"/>
          <w:bCs/>
          <w:i/>
          <w:sz w:val="20"/>
          <w:szCs w:val="20"/>
          <w:lang w:val="es-419"/>
        </w:rPr>
      </w:pPr>
      <w:r>
        <w:rPr>
          <w:rFonts w:cs="Arial"/>
          <w:i/>
          <w:iCs/>
          <w:sz w:val="20"/>
          <w:szCs w:val="20"/>
          <w:lang w:val="es"/>
        </w:rPr>
        <w:t>Jirón Carabaya, Cuadra 1,</w:t>
      </w:r>
      <w:r w:rsidR="00BB7950">
        <w:rPr>
          <w:rFonts w:cs="Arial"/>
          <w:bCs/>
          <w:i/>
          <w:sz w:val="20"/>
          <w:szCs w:val="20"/>
          <w:lang w:val="es-419"/>
        </w:rPr>
        <w:t xml:space="preserve"> </w:t>
      </w:r>
      <w:r>
        <w:rPr>
          <w:rFonts w:cs="Arial"/>
          <w:i/>
          <w:iCs/>
          <w:sz w:val="20"/>
          <w:szCs w:val="20"/>
          <w:lang w:val="es"/>
        </w:rPr>
        <w:t>Cercado de Lima, Perú</w:t>
      </w:r>
    </w:p>
    <w:p w14:paraId="20C922D6" w14:textId="6200FDF3" w:rsidR="00646ADB" w:rsidRPr="00B7185F" w:rsidRDefault="00646ADB" w:rsidP="00646ADB">
      <w:pPr>
        <w:spacing w:after="0" w:line="240" w:lineRule="auto"/>
        <w:ind w:left="-283"/>
        <w:jc w:val="right"/>
        <w:rPr>
          <w:rFonts w:cs="Arial"/>
          <w:bCs/>
          <w:i/>
          <w:sz w:val="20"/>
          <w:szCs w:val="20"/>
          <w:lang w:val="es-419"/>
        </w:rPr>
      </w:pPr>
      <w:r>
        <w:rPr>
          <w:rFonts w:cs="Arial"/>
          <w:i/>
          <w:iCs/>
          <w:sz w:val="20"/>
          <w:szCs w:val="20"/>
          <w:lang w:val="es"/>
        </w:rPr>
        <w:t>Correo-e: lotarola@pcm.gob.pe</w:t>
      </w:r>
    </w:p>
    <w:p w14:paraId="4D6FC57F" w14:textId="246FD2D5" w:rsidR="00AA491C" w:rsidRPr="00B7185F" w:rsidRDefault="00AA491C" w:rsidP="00646ADB">
      <w:pPr>
        <w:spacing w:after="0" w:line="240" w:lineRule="auto"/>
        <w:ind w:left="-283"/>
        <w:jc w:val="right"/>
        <w:rPr>
          <w:rFonts w:cs="Arial"/>
          <w:i/>
          <w:sz w:val="20"/>
          <w:szCs w:val="20"/>
          <w:lang w:val="es-419"/>
        </w:rPr>
      </w:pPr>
      <w:r>
        <w:rPr>
          <w:rFonts w:cs="Arial"/>
          <w:i/>
          <w:iCs/>
          <w:sz w:val="20"/>
          <w:szCs w:val="20"/>
          <w:lang w:val="es"/>
        </w:rPr>
        <w:t>Twitter: @AlbertoOtarolaP</w:t>
      </w:r>
    </w:p>
    <w:p w14:paraId="60F348A9" w14:textId="77777777" w:rsidR="008F0E4A" w:rsidRPr="00B7185F" w:rsidRDefault="008F0E4A" w:rsidP="00980425">
      <w:pPr>
        <w:spacing w:after="0" w:line="240" w:lineRule="auto"/>
        <w:ind w:left="-283"/>
        <w:rPr>
          <w:rFonts w:cs="Arial"/>
          <w:i/>
          <w:sz w:val="20"/>
          <w:szCs w:val="20"/>
          <w:lang w:val="es-419"/>
        </w:rPr>
      </w:pPr>
    </w:p>
    <w:p w14:paraId="791E2F32" w14:textId="314BD518" w:rsidR="005D2C37" w:rsidRPr="00B7185F" w:rsidRDefault="005D2C37" w:rsidP="00980425">
      <w:pPr>
        <w:spacing w:after="0" w:line="240" w:lineRule="auto"/>
        <w:ind w:left="-283"/>
        <w:rPr>
          <w:rFonts w:cs="Arial"/>
          <w:i/>
          <w:sz w:val="20"/>
          <w:szCs w:val="20"/>
          <w:lang w:val="es-419"/>
        </w:rPr>
      </w:pPr>
      <w:r>
        <w:rPr>
          <w:rFonts w:cs="Arial"/>
          <w:i/>
          <w:iCs/>
          <w:sz w:val="20"/>
          <w:szCs w:val="20"/>
          <w:lang w:val="es"/>
        </w:rPr>
        <w:t>Sr. Alberto Otárola Peñaranda:</w:t>
      </w:r>
    </w:p>
    <w:p w14:paraId="160598A3" w14:textId="77777777" w:rsidR="005D2C37" w:rsidRPr="00B7185F" w:rsidRDefault="005D2C37" w:rsidP="00980425">
      <w:pPr>
        <w:spacing w:after="0" w:line="240" w:lineRule="auto"/>
        <w:ind w:left="-283"/>
        <w:rPr>
          <w:rFonts w:cs="Arial"/>
          <w:i/>
          <w:sz w:val="20"/>
          <w:szCs w:val="20"/>
          <w:lang w:val="es-419"/>
        </w:rPr>
      </w:pPr>
    </w:p>
    <w:p w14:paraId="646113A1" w14:textId="75249FA3" w:rsidR="00353210" w:rsidRPr="00B7185F" w:rsidRDefault="006533D8" w:rsidP="001F0803">
      <w:pPr>
        <w:spacing w:after="0" w:line="240" w:lineRule="auto"/>
        <w:ind w:left="-283"/>
        <w:rPr>
          <w:rFonts w:cs="Arial"/>
          <w:i/>
          <w:sz w:val="20"/>
          <w:szCs w:val="20"/>
          <w:lang w:val="es-419"/>
        </w:rPr>
      </w:pPr>
      <w:r>
        <w:rPr>
          <w:rFonts w:cs="Arial"/>
          <w:i/>
          <w:iCs/>
          <w:sz w:val="20"/>
          <w:szCs w:val="20"/>
          <w:lang w:val="es"/>
        </w:rPr>
        <w:t xml:space="preserve">Me preocupa enormemente el decreto emitido recientemente por el gobierno peruano que pone en grave riesgo a la población venezolana refugiada en Perú. </w:t>
      </w:r>
      <w:r w:rsidR="009215B2">
        <w:rPr>
          <w:rFonts w:cs="Arial"/>
          <w:i/>
          <w:iCs/>
          <w:sz w:val="20"/>
          <w:szCs w:val="20"/>
          <w:lang w:val="es"/>
        </w:rPr>
        <w:t>La</w:t>
      </w:r>
      <w:r>
        <w:rPr>
          <w:rFonts w:cs="Arial"/>
          <w:i/>
          <w:iCs/>
          <w:sz w:val="20"/>
          <w:szCs w:val="20"/>
          <w:lang w:val="es"/>
        </w:rPr>
        <w:t xml:space="preserve"> reciente </w:t>
      </w:r>
      <w:r w:rsidR="009215B2">
        <w:rPr>
          <w:rFonts w:cs="Arial"/>
          <w:i/>
          <w:iCs/>
          <w:sz w:val="20"/>
          <w:szCs w:val="20"/>
          <w:lang w:val="es"/>
        </w:rPr>
        <w:t>fecha</w:t>
      </w:r>
      <w:r>
        <w:rPr>
          <w:rFonts w:cs="Arial"/>
          <w:i/>
          <w:iCs/>
          <w:sz w:val="20"/>
          <w:szCs w:val="20"/>
          <w:lang w:val="es"/>
        </w:rPr>
        <w:t xml:space="preserve"> límite para solicitar protección temporal </w:t>
      </w:r>
      <w:r w:rsidR="009215B2">
        <w:rPr>
          <w:rFonts w:cs="Arial"/>
          <w:i/>
          <w:iCs/>
          <w:sz w:val="20"/>
          <w:szCs w:val="20"/>
          <w:lang w:val="es"/>
        </w:rPr>
        <w:t>fue</w:t>
      </w:r>
      <w:r>
        <w:rPr>
          <w:rFonts w:cs="Arial"/>
          <w:i/>
          <w:iCs/>
          <w:sz w:val="20"/>
          <w:szCs w:val="20"/>
          <w:lang w:val="es"/>
        </w:rPr>
        <w:t xml:space="preserve"> demasiado corto para que muchas personas venezolanas soliciten la situación migratoria regular, y ahora estas personas quedan totalmente desprotegidas y se enfrentan a expulsiones ilegales.</w:t>
      </w:r>
    </w:p>
    <w:p w14:paraId="031D7882" w14:textId="128A72C1" w:rsidR="00D80E0A" w:rsidRPr="00B7185F" w:rsidRDefault="00D80E0A" w:rsidP="001F0803">
      <w:pPr>
        <w:spacing w:after="0" w:line="240" w:lineRule="auto"/>
        <w:ind w:left="-283"/>
        <w:rPr>
          <w:rFonts w:cs="Arial"/>
          <w:i/>
          <w:sz w:val="20"/>
          <w:szCs w:val="20"/>
          <w:lang w:val="es-419"/>
        </w:rPr>
      </w:pPr>
    </w:p>
    <w:p w14:paraId="42C6D46F" w14:textId="55537CE2" w:rsidR="005028EA" w:rsidRPr="00B7185F" w:rsidRDefault="00AD7D2C" w:rsidP="001F0803">
      <w:pPr>
        <w:spacing w:after="0" w:line="240" w:lineRule="auto"/>
        <w:ind w:left="-283"/>
        <w:rPr>
          <w:rFonts w:cs="Arial"/>
          <w:i/>
          <w:sz w:val="20"/>
          <w:szCs w:val="20"/>
          <w:lang w:val="es-419"/>
        </w:rPr>
      </w:pPr>
      <w:r>
        <w:rPr>
          <w:rFonts w:cs="Arial"/>
          <w:i/>
          <w:iCs/>
          <w:sz w:val="20"/>
          <w:szCs w:val="20"/>
          <w:lang w:val="es"/>
        </w:rPr>
        <w:t xml:space="preserve">Amnistía Internacional ha reconocido repetidamente las dificultades que entraña acoger a un número sin precedentes de personas que buscan protección. Sin embargo, las autoridades peruanas no pueden utilizar esto como excusa para </w:t>
      </w:r>
      <w:r w:rsidR="009215B2">
        <w:rPr>
          <w:rFonts w:cs="Arial"/>
          <w:i/>
          <w:iCs/>
          <w:sz w:val="20"/>
          <w:szCs w:val="20"/>
          <w:lang w:val="es"/>
        </w:rPr>
        <w:t>ignorar</w:t>
      </w:r>
      <w:r>
        <w:rPr>
          <w:rFonts w:cs="Arial"/>
          <w:i/>
          <w:iCs/>
          <w:sz w:val="20"/>
          <w:szCs w:val="20"/>
          <w:lang w:val="es"/>
        </w:rPr>
        <w:t xml:space="preserve"> sus </w:t>
      </w:r>
      <w:r w:rsidR="00E561E7">
        <w:fldChar w:fldCharType="begin"/>
      </w:r>
      <w:r w:rsidR="00E561E7" w:rsidRPr="00E561E7">
        <w:rPr>
          <w:lang w:val="es-ES"/>
        </w:rPr>
        <w:instrText>HYPERLINK "https://www.amnesty.org/es/documents/amr01/7130/2023/es/"</w:instrText>
      </w:r>
      <w:r w:rsidR="00E561E7">
        <w:fldChar w:fldCharType="separate"/>
      </w:r>
      <w:r>
        <w:rPr>
          <w:rStyle w:val="Hipervnculo"/>
          <w:rFonts w:cs="Arial"/>
          <w:i/>
          <w:iCs/>
          <w:sz w:val="20"/>
          <w:szCs w:val="20"/>
          <w:lang w:val="es"/>
        </w:rPr>
        <w:t>obligaciones en virtud del derecho internacional de los derechos humanos y de las personas refugiadas</w:t>
      </w:r>
      <w:r w:rsidR="00E561E7">
        <w:rPr>
          <w:rStyle w:val="Hipervnculo"/>
          <w:rFonts w:cs="Arial"/>
          <w:i/>
          <w:iCs/>
          <w:sz w:val="20"/>
          <w:szCs w:val="20"/>
          <w:lang w:val="es"/>
        </w:rPr>
        <w:fldChar w:fldCharType="end"/>
      </w:r>
      <w:r>
        <w:rPr>
          <w:rFonts w:cs="Arial"/>
          <w:i/>
          <w:iCs/>
          <w:sz w:val="20"/>
          <w:szCs w:val="20"/>
          <w:lang w:val="es"/>
        </w:rPr>
        <w:t xml:space="preserve">, según las cuales deben proteger a quienes huyen de violaciones masivas de derechos humanos en Venezuela. Perú debe garantizar el derecho de todas las personas venezolanas a pedir que se reconozca su condición de refugiadas, debe implementar medidas de protección temporal y complementaria que sean plenamente accesibles y protejan los derechos fundamentales y, una cuestión crucial, debe garantizar el estricto </w:t>
      </w:r>
      <w:r w:rsidR="009215B2">
        <w:rPr>
          <w:rFonts w:cs="Arial"/>
          <w:i/>
          <w:iCs/>
          <w:sz w:val="20"/>
          <w:szCs w:val="20"/>
          <w:lang w:val="es"/>
        </w:rPr>
        <w:t>apego al</w:t>
      </w:r>
      <w:r>
        <w:rPr>
          <w:rFonts w:cs="Arial"/>
          <w:i/>
          <w:iCs/>
          <w:sz w:val="20"/>
          <w:szCs w:val="20"/>
          <w:lang w:val="es"/>
        </w:rPr>
        <w:t xml:space="preserve"> principio de no devolución.</w:t>
      </w:r>
    </w:p>
    <w:p w14:paraId="3B24CDAB" w14:textId="77777777" w:rsidR="005028EA" w:rsidRPr="00B7185F" w:rsidRDefault="005028EA" w:rsidP="001F0803">
      <w:pPr>
        <w:spacing w:after="0" w:line="240" w:lineRule="auto"/>
        <w:ind w:left="-283"/>
        <w:rPr>
          <w:rFonts w:cs="Arial"/>
          <w:i/>
          <w:sz w:val="20"/>
          <w:szCs w:val="20"/>
          <w:lang w:val="es-419"/>
        </w:rPr>
      </w:pPr>
    </w:p>
    <w:p w14:paraId="44F38F84" w14:textId="2462CC9F" w:rsidR="000F0471" w:rsidRPr="00B7185F" w:rsidRDefault="00716F77" w:rsidP="00B12180">
      <w:pPr>
        <w:spacing w:after="0" w:line="240" w:lineRule="auto"/>
        <w:ind w:left="-283"/>
        <w:rPr>
          <w:i/>
          <w:sz w:val="20"/>
          <w:szCs w:val="20"/>
          <w:lang w:val="es-419"/>
        </w:rPr>
      </w:pPr>
      <w:r>
        <w:rPr>
          <w:i/>
          <w:iCs/>
          <w:sz w:val="20"/>
          <w:szCs w:val="20"/>
          <w:lang w:val="es"/>
        </w:rPr>
        <w:t xml:space="preserve">En nuestro reciente informe, </w:t>
      </w:r>
      <w:r w:rsidR="00E561E7">
        <w:fldChar w:fldCharType="begin"/>
      </w:r>
      <w:r w:rsidR="00E561E7" w:rsidRPr="00E561E7">
        <w:rPr>
          <w:lang w:val="es-ES"/>
        </w:rPr>
        <w:instrText>HYPERLINK "https://www.amnesty</w:instrText>
      </w:r>
      <w:r w:rsidR="00E561E7" w:rsidRPr="00E561E7">
        <w:rPr>
          <w:lang w:val="es-ES"/>
        </w:rPr>
        <w:instrText>.org/es/documents/amr01/7130/2023/es/"</w:instrText>
      </w:r>
      <w:r w:rsidR="00E561E7">
        <w:fldChar w:fldCharType="separate"/>
      </w:r>
      <w:r>
        <w:rPr>
          <w:rStyle w:val="Hipervnculo"/>
          <w:rFonts w:cs="Arial"/>
          <w:sz w:val="20"/>
          <w:szCs w:val="20"/>
          <w:lang w:val="es"/>
        </w:rPr>
        <w:t>Regularizar y proteger</w:t>
      </w:r>
      <w:r w:rsidR="00E561E7">
        <w:rPr>
          <w:rStyle w:val="Hipervnculo"/>
          <w:rFonts w:cs="Arial"/>
          <w:sz w:val="20"/>
          <w:szCs w:val="20"/>
          <w:lang w:val="es"/>
        </w:rPr>
        <w:fldChar w:fldCharType="end"/>
      </w:r>
      <w:r>
        <w:rPr>
          <w:i/>
          <w:iCs/>
          <w:sz w:val="20"/>
          <w:szCs w:val="20"/>
          <w:lang w:val="es"/>
        </w:rPr>
        <w:t>, recordamos a las autoridades peruanas sus obligaciones internacionales respecto a la no devolución: “El principio de no devolución, que se ha convertido en una norma de derecho consuetudinario, prohíbe a los Estados la devolución o traslado de una persona a cualquier lugar donde su vida o libertad pueden verse amenazadas, o donde él o ella corra riesgo de persecución. La prohibición de no devolución cubre la intercepción, rechazo en la frontera, o devolución indirecta. Este principio no admite derogación y debe ser respetado en todo momento por los Estados”.</w:t>
      </w:r>
    </w:p>
    <w:p w14:paraId="3F1C24CF" w14:textId="35BCE4A7" w:rsidR="00D462F4" w:rsidRPr="00B7185F" w:rsidRDefault="00D462F4" w:rsidP="00980425">
      <w:pPr>
        <w:spacing w:after="0" w:line="240" w:lineRule="auto"/>
        <w:ind w:left="-283"/>
        <w:rPr>
          <w:rFonts w:cs="Arial"/>
          <w:i/>
          <w:sz w:val="20"/>
          <w:szCs w:val="20"/>
          <w:lang w:val="es-419"/>
        </w:rPr>
      </w:pPr>
    </w:p>
    <w:p w14:paraId="50BFA3DD" w14:textId="3D8474A4" w:rsidR="00D462F4" w:rsidRPr="00C46B3A" w:rsidRDefault="00CB25A4" w:rsidP="00980425">
      <w:pPr>
        <w:spacing w:after="0" w:line="240" w:lineRule="auto"/>
        <w:ind w:left="-283"/>
        <w:rPr>
          <w:rFonts w:cs="Arial"/>
          <w:b/>
          <w:bCs/>
          <w:i/>
          <w:sz w:val="20"/>
          <w:szCs w:val="20"/>
          <w:lang w:val="es-419"/>
        </w:rPr>
      </w:pPr>
      <w:r w:rsidRPr="00C46B3A">
        <w:rPr>
          <w:rFonts w:cs="Arial"/>
          <w:b/>
          <w:bCs/>
          <w:i/>
          <w:iCs/>
          <w:sz w:val="20"/>
          <w:szCs w:val="20"/>
          <w:lang w:val="es"/>
        </w:rPr>
        <w:t>El Decreto Legislativo núm. 1582 es contrario a estas obligaciones de derecho internacional, incluida la obligación de asegurar el derecho a las garantías de debido proceso como barrera fundamental para proteger de la devolución a las personas refugiadas. Este decreto parece establecer como norma las expulsiones ilegales. Le instamos a derogar de inmediato el Decreto 1582 y cumplir plenamente la obligación internacional contraída por Perú de proteger a la población venezolana en el país.</w:t>
      </w:r>
    </w:p>
    <w:p w14:paraId="1DC35C99" w14:textId="77777777" w:rsidR="009E3CB5" w:rsidRPr="00B7185F" w:rsidRDefault="009E3CB5" w:rsidP="00980425">
      <w:pPr>
        <w:spacing w:after="0" w:line="240" w:lineRule="auto"/>
        <w:ind w:left="-283"/>
        <w:rPr>
          <w:rFonts w:cs="Arial"/>
          <w:i/>
          <w:sz w:val="20"/>
          <w:szCs w:val="20"/>
          <w:lang w:val="es-419"/>
        </w:rPr>
      </w:pPr>
    </w:p>
    <w:p w14:paraId="344C4CD0" w14:textId="77173311" w:rsidR="00E52E3B" w:rsidRPr="00B7185F" w:rsidRDefault="005D2C37" w:rsidP="00B93644">
      <w:pPr>
        <w:spacing w:after="0" w:line="240" w:lineRule="auto"/>
        <w:ind w:left="-283"/>
        <w:rPr>
          <w:rFonts w:cs="Arial"/>
          <w:b/>
          <w:sz w:val="20"/>
          <w:szCs w:val="20"/>
          <w:lang w:val="es-419"/>
        </w:rPr>
      </w:pPr>
      <w:r>
        <w:rPr>
          <w:rFonts w:cs="Arial"/>
          <w:i/>
          <w:iCs/>
          <w:sz w:val="20"/>
          <w:szCs w:val="20"/>
          <w:lang w:val="es"/>
        </w:rPr>
        <w:t>Atentamente, [NOMBRE]</w:t>
      </w:r>
      <w:r>
        <w:rPr>
          <w:rFonts w:cs="Arial"/>
          <w:sz w:val="20"/>
          <w:szCs w:val="20"/>
          <w:lang w:val="es"/>
        </w:rPr>
        <w:br w:type="page"/>
      </w:r>
    </w:p>
    <w:p w14:paraId="313DC542" w14:textId="77777777" w:rsidR="00214833" w:rsidRPr="00B7185F" w:rsidRDefault="00214833" w:rsidP="00A368EA">
      <w:pPr>
        <w:spacing w:after="0" w:line="240" w:lineRule="auto"/>
        <w:rPr>
          <w:rFonts w:cs="Arial"/>
          <w:b/>
          <w:sz w:val="20"/>
          <w:szCs w:val="20"/>
          <w:lang w:val="es-419"/>
        </w:rPr>
      </w:pPr>
    </w:p>
    <w:p w14:paraId="15D754DB" w14:textId="77777777" w:rsidR="0082127B" w:rsidRPr="00B7185F" w:rsidRDefault="0082127B" w:rsidP="0082127B">
      <w:pPr>
        <w:pStyle w:val="AIBoxHeading"/>
        <w:shd w:val="clear" w:color="auto" w:fill="D9D9D9" w:themeFill="background1" w:themeFillShade="D9"/>
        <w:rPr>
          <w:rFonts w:ascii="Arial" w:hAnsi="Arial" w:cs="Arial"/>
          <w:b/>
          <w:sz w:val="32"/>
          <w:szCs w:val="32"/>
          <w:lang w:val="es-419"/>
        </w:rPr>
      </w:pPr>
      <w:r>
        <w:rPr>
          <w:rFonts w:ascii="Arial" w:hAnsi="Arial" w:cs="Arial"/>
          <w:b/>
          <w:bCs/>
          <w:sz w:val="32"/>
          <w:szCs w:val="32"/>
          <w:lang w:val="es"/>
        </w:rPr>
        <w:t>Información complementaria</w:t>
      </w:r>
    </w:p>
    <w:p w14:paraId="115BB598" w14:textId="77777777" w:rsidR="005D2C37" w:rsidRPr="00B7185F" w:rsidRDefault="005D2C37" w:rsidP="00BB7950">
      <w:pPr>
        <w:spacing w:after="0" w:line="240" w:lineRule="auto"/>
        <w:jc w:val="both"/>
        <w:rPr>
          <w:rFonts w:ascii="Arial" w:hAnsi="Arial" w:cs="Arial"/>
          <w:lang w:val="es-419"/>
        </w:rPr>
      </w:pPr>
    </w:p>
    <w:p w14:paraId="2605B17E" w14:textId="3F62A0F2" w:rsidR="005D2C37" w:rsidRPr="00B7185F" w:rsidRDefault="00A40A17" w:rsidP="00A40A17">
      <w:pPr>
        <w:spacing w:line="240" w:lineRule="auto"/>
        <w:rPr>
          <w:rFonts w:ascii="Arial" w:hAnsi="Arial" w:cs="Arial"/>
          <w:szCs w:val="20"/>
          <w:lang w:val="es-419"/>
        </w:rPr>
      </w:pPr>
      <w:r>
        <w:rPr>
          <w:rFonts w:ascii="Arial" w:hAnsi="Arial" w:cs="Arial"/>
          <w:szCs w:val="20"/>
          <w:lang w:val="es"/>
        </w:rPr>
        <w:t xml:space="preserve">Para agosto de 2023, más del </w:t>
      </w:r>
      <w:hyperlink r:id="rId7" w:history="1">
        <w:r>
          <w:rPr>
            <w:rStyle w:val="Hipervnculo"/>
            <w:rFonts w:ascii="Arial" w:hAnsi="Arial" w:cs="Arial"/>
            <w:szCs w:val="20"/>
            <w:lang w:val="es"/>
          </w:rPr>
          <w:t>25% de la población de Venezuela</w:t>
        </w:r>
      </w:hyperlink>
      <w:r>
        <w:rPr>
          <w:rFonts w:ascii="Arial" w:hAnsi="Arial" w:cs="Arial"/>
          <w:szCs w:val="20"/>
          <w:lang w:val="es"/>
        </w:rPr>
        <w:t xml:space="preserve"> (más de 7,71 millones de venezolanos y venezolanas) había huido de las violaciones masivas de derechos humanos. Es decir, una de cada cuatro personas del país. Y las cifras siguen creciendo: desde mayo de 2022, el incremento ha sido de 1,4 millones. Más del 80% de estas personas están en Latinoamérica y el Caribe. En concreto, el 70% están en Colombia (2,9 millones), Perú (1,5 millones), Ecuador (475.000) y Chile (444.000). Fuera de Latinoamérica y el Caribe, entre los 10 principales países de acogida se encuentra Estados Unidos, que ocupa el tercer lugar, con 545.000 personas venezolanas en su territorio (cifra de septiembre de 2021). Se considera que esta cifra está muy desfasada, ya que la población aumenta día a día a medida que </w:t>
      </w:r>
      <w:proofErr w:type="gramStart"/>
      <w:r>
        <w:rPr>
          <w:rFonts w:ascii="Arial" w:hAnsi="Arial" w:cs="Arial"/>
          <w:szCs w:val="20"/>
          <w:lang w:val="es"/>
        </w:rPr>
        <w:t>los venezolanos y las venezolanas</w:t>
      </w:r>
      <w:proofErr w:type="gramEnd"/>
      <w:r>
        <w:rPr>
          <w:rFonts w:ascii="Arial" w:hAnsi="Arial" w:cs="Arial"/>
          <w:szCs w:val="20"/>
          <w:lang w:val="es"/>
        </w:rPr>
        <w:t xml:space="preserve"> siguen siendo una de las principales nacionalidades que llegan a Estados Unidos a través de la frontera y de los programas de permisos humanitarios.</w:t>
      </w:r>
    </w:p>
    <w:p w14:paraId="55BC18F1" w14:textId="3D989282" w:rsidR="00FD443E" w:rsidRPr="00B7185F" w:rsidRDefault="0032387A" w:rsidP="0032387A">
      <w:pPr>
        <w:spacing w:line="240" w:lineRule="auto"/>
        <w:rPr>
          <w:rFonts w:ascii="Arial" w:hAnsi="Arial" w:cs="Arial"/>
          <w:szCs w:val="20"/>
          <w:lang w:val="es-419"/>
        </w:rPr>
      </w:pPr>
      <w:r>
        <w:rPr>
          <w:rFonts w:ascii="Arial" w:hAnsi="Arial" w:cs="Arial"/>
          <w:szCs w:val="20"/>
          <w:lang w:val="es"/>
        </w:rPr>
        <w:t xml:space="preserve">Amnistía Internacional considera que las personas de ciudadanía venezolana que huyen de su país necesitan </w:t>
      </w:r>
      <w:r w:rsidR="00E561E7">
        <w:fldChar w:fldCharType="begin"/>
      </w:r>
      <w:r w:rsidR="00E561E7" w:rsidRPr="00E561E7">
        <w:rPr>
          <w:lang w:val="es-ES"/>
        </w:rPr>
        <w:instrText>HYPERLINK "https://www.amnesty.org/es/documents/amr53/7331/2023/en/"</w:instrText>
      </w:r>
      <w:r w:rsidR="00E561E7">
        <w:fldChar w:fldCharType="separate"/>
      </w:r>
      <w:r>
        <w:rPr>
          <w:rStyle w:val="Hipervnculo"/>
          <w:rFonts w:ascii="Arial" w:hAnsi="Arial" w:cs="Arial"/>
          <w:szCs w:val="20"/>
          <w:lang w:val="es"/>
        </w:rPr>
        <w:t>protección internacional</w:t>
      </w:r>
      <w:r w:rsidR="00E561E7">
        <w:rPr>
          <w:rStyle w:val="Hipervnculo"/>
          <w:rFonts w:ascii="Arial" w:hAnsi="Arial" w:cs="Arial"/>
          <w:szCs w:val="20"/>
          <w:lang w:val="es"/>
        </w:rPr>
        <w:fldChar w:fldCharType="end"/>
      </w:r>
      <w:r>
        <w:rPr>
          <w:rFonts w:ascii="Arial" w:hAnsi="Arial" w:cs="Arial"/>
          <w:szCs w:val="20"/>
          <w:lang w:val="es"/>
        </w:rPr>
        <w:t xml:space="preserve"> y deben ser reconocidas formalmente como refugiadas, habida cuenta de la amenaza para sus vidas, su seguridad y su libertad a consecuencia de las violaciones masivas de derechos humanos cometidas en Venezuela. Por consiguiente, no pueden ser devueltas a Venezuela o a lugares en los que su vida y sus derechos humanos corren peligro. Pese a ello, un número cada vez mayor de países, entre ellos Estados Unidos, han reanudado los </w:t>
      </w:r>
      <w:r w:rsidR="00E561E7">
        <w:fldChar w:fldCharType="begin"/>
      </w:r>
      <w:r w:rsidR="00E561E7" w:rsidRPr="00E561E7">
        <w:rPr>
          <w:lang w:val="es-ES"/>
        </w:rPr>
        <w:instrText>HYPERLINK "https://www.amnesty.org/es/latest/news/2023/10/usa-deportation-flights-venezuelan-nationals-violate-international-law/"</w:instrText>
      </w:r>
      <w:r w:rsidR="00E561E7">
        <w:fldChar w:fldCharType="separate"/>
      </w:r>
      <w:r>
        <w:rPr>
          <w:rStyle w:val="Hipervnculo"/>
          <w:rFonts w:ascii="Arial" w:hAnsi="Arial" w:cs="Arial"/>
          <w:szCs w:val="20"/>
          <w:lang w:val="es"/>
        </w:rPr>
        <w:t>vuelos de deportación</w:t>
      </w:r>
      <w:r w:rsidR="00E561E7">
        <w:rPr>
          <w:rStyle w:val="Hipervnculo"/>
          <w:rFonts w:ascii="Arial" w:hAnsi="Arial" w:cs="Arial"/>
          <w:szCs w:val="20"/>
          <w:lang w:val="es"/>
        </w:rPr>
        <w:fldChar w:fldCharType="end"/>
      </w:r>
      <w:r>
        <w:rPr>
          <w:rFonts w:ascii="Arial" w:hAnsi="Arial" w:cs="Arial"/>
          <w:szCs w:val="20"/>
          <w:lang w:val="es"/>
        </w:rPr>
        <w:t xml:space="preserve"> a Venezuela, en contra de lo dispuesto por el derecho internacional de los derechos humanos y de las personas refugiadas.</w:t>
      </w:r>
    </w:p>
    <w:p w14:paraId="0E192F4C" w14:textId="4B63BD54" w:rsidR="00A40A17" w:rsidRPr="00B7185F" w:rsidRDefault="00FD443E" w:rsidP="0032387A">
      <w:pPr>
        <w:spacing w:line="240" w:lineRule="auto"/>
        <w:rPr>
          <w:rFonts w:ascii="Arial" w:hAnsi="Arial" w:cs="Arial"/>
          <w:szCs w:val="20"/>
          <w:lang w:val="es-419"/>
        </w:rPr>
      </w:pPr>
      <w:r>
        <w:rPr>
          <w:rFonts w:ascii="Arial" w:hAnsi="Arial" w:cs="Arial"/>
          <w:szCs w:val="20"/>
          <w:lang w:val="es"/>
        </w:rPr>
        <w:t xml:space="preserve">La crisis ha afectado de manera desproporcionada a las mujeres y niñas venezolanas. En 2022, Amnistía Internacional publicó </w:t>
      </w:r>
      <w:r w:rsidR="00E561E7">
        <w:fldChar w:fldCharType="begin"/>
      </w:r>
      <w:r w:rsidR="00E561E7" w:rsidRPr="00E561E7">
        <w:rPr>
          <w:lang w:val="es-ES"/>
        </w:rPr>
        <w:instrText>HYPERLINK "https://www.amn</w:instrText>
      </w:r>
      <w:r w:rsidR="00E561E7" w:rsidRPr="00E561E7">
        <w:rPr>
          <w:lang w:val="es-ES"/>
        </w:rPr>
        <w:instrText>esty.org/en/documents/amr01/5675/2022/en/"</w:instrText>
      </w:r>
      <w:r w:rsidR="00E561E7">
        <w:fldChar w:fldCharType="separate"/>
      </w:r>
      <w:r>
        <w:rPr>
          <w:rStyle w:val="Hipervnculo"/>
          <w:rFonts w:ascii="Arial" w:hAnsi="Arial" w:cs="Arial"/>
          <w:i/>
          <w:iCs/>
          <w:szCs w:val="20"/>
          <w:lang w:val="es"/>
        </w:rPr>
        <w:t>Desprotegidas:</w:t>
      </w:r>
      <w:r>
        <w:rPr>
          <w:rStyle w:val="Hipervnculo"/>
          <w:lang w:val="es"/>
        </w:rPr>
        <w:t xml:space="preserve"> </w:t>
      </w:r>
      <w:r>
        <w:rPr>
          <w:rStyle w:val="Hipervnculo"/>
          <w:rFonts w:ascii="Arial" w:hAnsi="Arial" w:cs="Arial"/>
          <w:i/>
          <w:iCs/>
          <w:szCs w:val="20"/>
          <w:lang w:val="es"/>
        </w:rPr>
        <w:t>Violencia basada en género contra mujeres venezolanas refugiadas en Colombia y Perú</w:t>
      </w:r>
      <w:r w:rsidR="00E561E7">
        <w:rPr>
          <w:rStyle w:val="Hipervnculo"/>
          <w:rFonts w:ascii="Arial" w:hAnsi="Arial" w:cs="Arial"/>
          <w:i/>
          <w:iCs/>
          <w:szCs w:val="20"/>
          <w:lang w:val="es"/>
        </w:rPr>
        <w:fldChar w:fldCharType="end"/>
      </w:r>
      <w:r>
        <w:rPr>
          <w:rFonts w:ascii="Arial" w:hAnsi="Arial" w:cs="Arial"/>
          <w:i/>
          <w:iCs/>
          <w:szCs w:val="20"/>
          <w:lang w:val="es"/>
        </w:rPr>
        <w:t xml:space="preserve">, </w:t>
      </w:r>
      <w:r>
        <w:rPr>
          <w:rFonts w:ascii="Arial" w:hAnsi="Arial" w:cs="Arial"/>
          <w:szCs w:val="20"/>
          <w:lang w:val="es"/>
        </w:rPr>
        <w:t>en el que revelaba la manera en que la falta de acceso a protección internacional y regularización migratoria, y los obstáculos en el acceso a servicios de salud y justicia y a refugios, mostraban que Perú, Ecuador y Colombia incumplían su obligación de prevenir y remediar la violencia de género contra mujeres refugiadas venezolanas.</w:t>
      </w:r>
    </w:p>
    <w:p w14:paraId="1D9DFCC9" w14:textId="77777777" w:rsidR="00353210" w:rsidRPr="00B7185F" w:rsidRDefault="007C7F1E" w:rsidP="007C7F1E">
      <w:pPr>
        <w:spacing w:line="240" w:lineRule="auto"/>
        <w:rPr>
          <w:rFonts w:ascii="Arial" w:hAnsi="Arial" w:cs="Arial"/>
          <w:szCs w:val="20"/>
          <w:lang w:val="es-419"/>
        </w:rPr>
      </w:pPr>
      <w:r>
        <w:rPr>
          <w:rFonts w:ascii="Arial" w:hAnsi="Arial" w:cs="Arial"/>
          <w:szCs w:val="20"/>
          <w:lang w:val="es"/>
        </w:rPr>
        <w:t xml:space="preserve">En un informe de septiembre de 2023, </w:t>
      </w:r>
      <w:r w:rsidR="00E561E7">
        <w:fldChar w:fldCharType="begin"/>
      </w:r>
      <w:r w:rsidR="00E561E7" w:rsidRPr="00E561E7">
        <w:rPr>
          <w:lang w:val="es-ES"/>
        </w:rPr>
        <w:instrText>HYPERLINK "https://www.amnesty.org/es/documents/amr01/7130/2023/es/"</w:instrText>
      </w:r>
      <w:r w:rsidR="00E561E7">
        <w:fldChar w:fldCharType="separate"/>
      </w:r>
      <w:r>
        <w:rPr>
          <w:rStyle w:val="Hipervnculo"/>
          <w:rFonts w:ascii="Arial" w:hAnsi="Arial" w:cs="Arial"/>
          <w:i/>
          <w:iCs/>
          <w:szCs w:val="20"/>
          <w:lang w:val="es"/>
        </w:rPr>
        <w:t>Regularizar y proteger: Obligaciones internacionales de protección de personas venezolanas</w:t>
      </w:r>
      <w:r w:rsidR="00E561E7">
        <w:rPr>
          <w:rStyle w:val="Hipervnculo"/>
          <w:rFonts w:ascii="Arial" w:hAnsi="Arial" w:cs="Arial"/>
          <w:i/>
          <w:iCs/>
          <w:szCs w:val="20"/>
          <w:lang w:val="es"/>
        </w:rPr>
        <w:fldChar w:fldCharType="end"/>
      </w:r>
      <w:r>
        <w:rPr>
          <w:rFonts w:ascii="Arial" w:hAnsi="Arial" w:cs="Arial"/>
          <w:szCs w:val="20"/>
          <w:lang w:val="es"/>
        </w:rPr>
        <w:t>, Amnistía Internacional concluyó que ni Colombia, ni Ecuador, ni Perú ni Chile cumplían con su obligación de ofrecer protección internacional o complementaria a las personas venezolanas. La cifra de personas de ciudadanía venezolana reconocidas como refugiadas es sumamente baja en todos los países, y las dificultades para acceder a los derechos humanos básicos agravan la vulnerabilidad a la que se enfrentan.</w:t>
      </w:r>
    </w:p>
    <w:p w14:paraId="3DE0A414" w14:textId="7B3AE632" w:rsidR="00FD443E" w:rsidRPr="00B7185F" w:rsidRDefault="007C7F1E" w:rsidP="007C7F1E">
      <w:pPr>
        <w:spacing w:line="240" w:lineRule="auto"/>
        <w:rPr>
          <w:rFonts w:ascii="Arial" w:hAnsi="Arial" w:cs="Arial"/>
          <w:szCs w:val="20"/>
          <w:lang w:val="es-419"/>
        </w:rPr>
      </w:pPr>
      <w:r>
        <w:rPr>
          <w:rFonts w:ascii="Arial" w:hAnsi="Arial" w:cs="Arial"/>
          <w:szCs w:val="20"/>
          <w:lang w:val="es"/>
        </w:rPr>
        <w:t>Ante la ineficacia de los sistemas de asilo, algunos países, como Perú, han implementado medidas alternativas para ofrecer una regularización migratoria. Sin embargo, ninguna de ellas cumple las normas internacionales de protección complementaria, y todas carecen de un mecanismo equivalente al asilo. El acceso a estas medidas a menudo se ve restringido por los límites temporales a la entrada en el país o a la fecha de solicitud, o por los costes económicos. Tampoco se brinda protección efectiva contra la devolución u otros derechos fundamentales.</w:t>
      </w:r>
    </w:p>
    <w:p w14:paraId="37694C40" w14:textId="24F1714B" w:rsidR="00E51F08" w:rsidRPr="00B7185F" w:rsidRDefault="00E42F8F" w:rsidP="007C7F1E">
      <w:pPr>
        <w:spacing w:line="240" w:lineRule="auto"/>
        <w:rPr>
          <w:rFonts w:ascii="Arial" w:hAnsi="Arial" w:cs="Arial"/>
          <w:szCs w:val="20"/>
          <w:lang w:val="es-419"/>
        </w:rPr>
      </w:pPr>
      <w:r>
        <w:rPr>
          <w:rFonts w:ascii="Arial" w:hAnsi="Arial" w:cs="Arial"/>
          <w:szCs w:val="20"/>
          <w:lang w:val="es"/>
        </w:rPr>
        <w:t xml:space="preserve">El Estado peruano ha emprendido repetidamente acciones que ponen en riesgo a las personas venezolanas refugiadas. En 2020, Amnistía Internacional emitió una Acción Urgente que destacaba el riesgo de </w:t>
      </w:r>
      <w:hyperlink r:id="rId8" w:history="1">
        <w:r>
          <w:rPr>
            <w:rStyle w:val="Hipervnculo"/>
            <w:rFonts w:ascii="Arial" w:hAnsi="Arial" w:cs="Arial"/>
            <w:szCs w:val="20"/>
            <w:lang w:val="es"/>
          </w:rPr>
          <w:t>desalojo forzoso</w:t>
        </w:r>
      </w:hyperlink>
      <w:r>
        <w:rPr>
          <w:rFonts w:ascii="Arial" w:hAnsi="Arial" w:cs="Arial"/>
          <w:szCs w:val="20"/>
          <w:lang w:val="es"/>
        </w:rPr>
        <w:t xml:space="preserve"> que corrían las personas venezolanas y de otras nacionalidades durante la pandemia de COVID, en un momento en el que muchas personas venezolanas refugiadas se encontraban en una situación de mayor vulnerabilidad. En noviembre de 2021, Amnistía Internacional emitió otra Acción Urgente para pedir a las autoridades peruanas que concedieran un estatus humanitario de emergencia a </w:t>
      </w:r>
      <w:hyperlink r:id="rId9" w:history="1">
        <w:proofErr w:type="gramStart"/>
        <w:r>
          <w:rPr>
            <w:rStyle w:val="Hipervnculo"/>
            <w:rFonts w:ascii="Arial" w:hAnsi="Arial" w:cs="Arial"/>
            <w:szCs w:val="20"/>
            <w:lang w:val="es"/>
          </w:rPr>
          <w:t>los niños y las niñas</w:t>
        </w:r>
        <w:proofErr w:type="gramEnd"/>
        <w:r>
          <w:rPr>
            <w:rStyle w:val="Hipervnculo"/>
            <w:rFonts w:ascii="Arial" w:hAnsi="Arial" w:cs="Arial"/>
            <w:szCs w:val="20"/>
            <w:lang w:val="es"/>
          </w:rPr>
          <w:t xml:space="preserve"> venezolanos</w:t>
        </w:r>
      </w:hyperlink>
      <w:r>
        <w:rPr>
          <w:rFonts w:ascii="Arial" w:hAnsi="Arial" w:cs="Arial"/>
          <w:szCs w:val="20"/>
          <w:lang w:val="es"/>
        </w:rPr>
        <w:t xml:space="preserve"> en Perú, después de que las autoridades peruanas se lo negaran indebidamente. Ambas acciones se saldaron con </w:t>
      </w:r>
      <w:r w:rsidR="00E561E7">
        <w:fldChar w:fldCharType="begin"/>
      </w:r>
      <w:r w:rsidR="00E561E7" w:rsidRPr="00E561E7">
        <w:rPr>
          <w:lang w:val="es-ES"/>
        </w:rPr>
        <w:instrText>HYPERLINK "https://www.amnesty.org/es/documents/amr46/5182/2022/es/"</w:instrText>
      </w:r>
      <w:r w:rsidR="00E561E7">
        <w:fldChar w:fldCharType="separate"/>
      </w:r>
      <w:r>
        <w:rPr>
          <w:rStyle w:val="Hipervnculo"/>
          <w:rFonts w:ascii="Arial" w:hAnsi="Arial" w:cs="Arial"/>
          <w:szCs w:val="20"/>
          <w:lang w:val="es"/>
        </w:rPr>
        <w:t>éxito</w:t>
      </w:r>
      <w:r w:rsidR="00E561E7">
        <w:rPr>
          <w:rStyle w:val="Hipervnculo"/>
          <w:rFonts w:ascii="Arial" w:hAnsi="Arial" w:cs="Arial"/>
          <w:szCs w:val="20"/>
          <w:lang w:val="es"/>
        </w:rPr>
        <w:fldChar w:fldCharType="end"/>
      </w:r>
      <w:r>
        <w:rPr>
          <w:rFonts w:ascii="Arial" w:hAnsi="Arial" w:cs="Arial"/>
          <w:szCs w:val="20"/>
          <w:lang w:val="es"/>
        </w:rPr>
        <w:t xml:space="preserve">. En 2023, Amnistía Internacional emitió una </w:t>
      </w:r>
      <w:r w:rsidR="00E561E7">
        <w:fldChar w:fldCharType="begin"/>
      </w:r>
      <w:r w:rsidR="00E561E7" w:rsidRPr="00E561E7">
        <w:rPr>
          <w:lang w:val="es-ES"/>
        </w:rPr>
        <w:instrText>HYPERLINK "https://www.amnesty.org/es/documents/amr01/6744/2023/es/"</w:instrText>
      </w:r>
      <w:r w:rsidR="00E561E7">
        <w:fldChar w:fldCharType="separate"/>
      </w:r>
      <w:r>
        <w:rPr>
          <w:rStyle w:val="Hipervnculo"/>
          <w:rFonts w:ascii="Arial" w:hAnsi="Arial" w:cs="Arial"/>
          <w:szCs w:val="20"/>
          <w:lang w:val="es"/>
        </w:rPr>
        <w:t>carta abierta a la presidenta de Perú y el presidente de Chile</w:t>
      </w:r>
      <w:r w:rsidR="00E561E7">
        <w:rPr>
          <w:rStyle w:val="Hipervnculo"/>
          <w:rFonts w:ascii="Arial" w:hAnsi="Arial" w:cs="Arial"/>
          <w:szCs w:val="20"/>
          <w:lang w:val="es"/>
        </w:rPr>
        <w:fldChar w:fldCharType="end"/>
      </w:r>
      <w:r>
        <w:rPr>
          <w:rFonts w:ascii="Arial" w:hAnsi="Arial" w:cs="Arial"/>
          <w:szCs w:val="20"/>
          <w:lang w:val="es"/>
        </w:rPr>
        <w:t xml:space="preserve"> para expresarles su honda preocupación por la crítica situación a la que se enfrentaban las personas necesitadas de protección internacional en la frontera entre Chile y Perú a consecuencia de las medidas implementadas por sus respectivos gobiernos, incluidos el despliegue de fuerzas militares y la declaración de un estado de emergencia.</w:t>
      </w:r>
    </w:p>
    <w:p w14:paraId="44F78A38" w14:textId="21E44901" w:rsidR="005D2C37" w:rsidRPr="00B7185F" w:rsidRDefault="005D2C37" w:rsidP="00980425">
      <w:pPr>
        <w:spacing w:after="0" w:line="240" w:lineRule="auto"/>
        <w:rPr>
          <w:rFonts w:ascii="Arial" w:hAnsi="Arial" w:cs="Arial"/>
          <w:b/>
          <w:sz w:val="20"/>
          <w:szCs w:val="20"/>
          <w:lang w:val="es-419"/>
        </w:rPr>
      </w:pPr>
      <w:r>
        <w:rPr>
          <w:rFonts w:ascii="Arial" w:hAnsi="Arial" w:cs="Arial"/>
          <w:b/>
          <w:bCs/>
          <w:sz w:val="20"/>
          <w:szCs w:val="20"/>
          <w:lang w:val="es"/>
        </w:rPr>
        <w:t xml:space="preserve">PUEDEN ESCRIBIR LLAMAMIENTOS EN: </w:t>
      </w:r>
      <w:proofErr w:type="gramStart"/>
      <w:r>
        <w:rPr>
          <w:rFonts w:ascii="Arial" w:hAnsi="Arial" w:cs="Arial"/>
          <w:b/>
          <w:bCs/>
          <w:sz w:val="20"/>
          <w:szCs w:val="20"/>
          <w:lang w:val="es"/>
        </w:rPr>
        <w:t>Español</w:t>
      </w:r>
      <w:proofErr w:type="gramEnd"/>
    </w:p>
    <w:p w14:paraId="677E723D" w14:textId="77777777" w:rsidR="005D2C37" w:rsidRPr="00B7185F" w:rsidRDefault="005D2C37" w:rsidP="00980425">
      <w:pPr>
        <w:spacing w:after="0" w:line="240" w:lineRule="auto"/>
        <w:rPr>
          <w:rFonts w:ascii="Arial" w:hAnsi="Arial" w:cs="Arial"/>
          <w:color w:val="0070C0"/>
          <w:sz w:val="20"/>
          <w:szCs w:val="20"/>
          <w:lang w:val="es-419"/>
        </w:rPr>
      </w:pPr>
      <w:r>
        <w:rPr>
          <w:rFonts w:ascii="Arial" w:hAnsi="Arial" w:cs="Arial"/>
          <w:sz w:val="20"/>
          <w:szCs w:val="20"/>
          <w:lang w:val="es"/>
        </w:rPr>
        <w:t>También pueden escribir en su propio idioma.</w:t>
      </w:r>
    </w:p>
    <w:p w14:paraId="78F17D93" w14:textId="77777777" w:rsidR="005D2C37" w:rsidRPr="00B7185F" w:rsidRDefault="005D2C37" w:rsidP="00980425">
      <w:pPr>
        <w:spacing w:after="0" w:line="240" w:lineRule="auto"/>
        <w:rPr>
          <w:rFonts w:ascii="Arial" w:hAnsi="Arial" w:cs="Arial"/>
          <w:color w:val="0070C0"/>
          <w:sz w:val="20"/>
          <w:szCs w:val="20"/>
          <w:lang w:val="es-419"/>
        </w:rPr>
      </w:pPr>
    </w:p>
    <w:p w14:paraId="636B746D" w14:textId="7B9B4CEB" w:rsidR="005D2C37" w:rsidRPr="00B7185F" w:rsidRDefault="005D2C37" w:rsidP="00980425">
      <w:pPr>
        <w:spacing w:after="0" w:line="240" w:lineRule="auto"/>
        <w:rPr>
          <w:rFonts w:ascii="Arial" w:hAnsi="Arial" w:cs="Arial"/>
          <w:sz w:val="20"/>
          <w:szCs w:val="20"/>
          <w:lang w:val="es-419"/>
        </w:rPr>
      </w:pPr>
      <w:r>
        <w:rPr>
          <w:rFonts w:ascii="Arial" w:hAnsi="Arial" w:cs="Arial"/>
          <w:b/>
          <w:bCs/>
          <w:sz w:val="20"/>
          <w:szCs w:val="20"/>
          <w:lang w:val="es"/>
        </w:rPr>
        <w:t>ENVÍEN LLAMAMIENTOS LO ANTES POSIBLE Y NO MÁS TARDE DEL: 9 de enero de 2024</w:t>
      </w:r>
    </w:p>
    <w:p w14:paraId="2C5E5589" w14:textId="77777777" w:rsidR="005D2C37" w:rsidRPr="00B7185F" w:rsidRDefault="005D2C37" w:rsidP="00980425">
      <w:pPr>
        <w:spacing w:after="0" w:line="240" w:lineRule="auto"/>
        <w:rPr>
          <w:rFonts w:ascii="Arial" w:hAnsi="Arial" w:cs="Arial"/>
          <w:sz w:val="20"/>
          <w:szCs w:val="20"/>
          <w:lang w:val="es-419"/>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B7185F" w:rsidRDefault="005D2C37" w:rsidP="00980425">
      <w:pPr>
        <w:spacing w:after="0" w:line="240" w:lineRule="auto"/>
        <w:rPr>
          <w:rFonts w:ascii="Arial" w:hAnsi="Arial" w:cs="Arial"/>
          <w:b/>
          <w:sz w:val="20"/>
          <w:szCs w:val="20"/>
          <w:lang w:val="es-419"/>
        </w:rPr>
      </w:pPr>
    </w:p>
    <w:p w14:paraId="4FC154C0" w14:textId="09C73D82" w:rsidR="005D2C37" w:rsidRDefault="005D2C37" w:rsidP="00980425">
      <w:pPr>
        <w:spacing w:after="0" w:line="240" w:lineRule="auto"/>
        <w:rPr>
          <w:rFonts w:ascii="Arial" w:hAnsi="Arial" w:cs="Arial"/>
          <w:b/>
          <w:bCs/>
          <w:sz w:val="20"/>
          <w:szCs w:val="20"/>
          <w:lang w:val="es"/>
        </w:rPr>
      </w:pPr>
      <w:r>
        <w:rPr>
          <w:rFonts w:ascii="Arial" w:hAnsi="Arial" w:cs="Arial"/>
          <w:b/>
          <w:bCs/>
          <w:sz w:val="20"/>
          <w:szCs w:val="20"/>
          <w:lang w:val="es"/>
        </w:rPr>
        <w:t>NOMBRE Y GÉNERO GRAMATICAL PREFERIDO: Personas refugiadas venezolanas (no aplicable)</w:t>
      </w:r>
    </w:p>
    <w:p w14:paraId="3B8F6B2F" w14:textId="77777777" w:rsidR="00A368EA" w:rsidRPr="00B7185F" w:rsidRDefault="00A368EA" w:rsidP="00980425">
      <w:pPr>
        <w:spacing w:after="0" w:line="240" w:lineRule="auto"/>
        <w:rPr>
          <w:rFonts w:ascii="Amnesty Trade Gothic Light" w:hAnsi="Amnesty Trade Gothic Light" w:cs="Arial"/>
          <w:b/>
          <w:sz w:val="20"/>
          <w:szCs w:val="20"/>
          <w:lang w:val="es-419"/>
        </w:rPr>
      </w:pPr>
    </w:p>
    <w:p w14:paraId="0FFEBABC" w14:textId="080FC471" w:rsidR="00A368EA" w:rsidRPr="00E561E7" w:rsidRDefault="00A368EA" w:rsidP="00980425">
      <w:pPr>
        <w:spacing w:line="240" w:lineRule="auto"/>
        <w:rPr>
          <w:lang w:val="es-419"/>
        </w:rPr>
      </w:pPr>
      <w:r w:rsidRPr="00E561E7">
        <w:rPr>
          <w:rFonts w:ascii="Arial" w:hAnsi="Arial" w:cs="Arial"/>
          <w:b/>
          <w:bCs/>
          <w:sz w:val="20"/>
          <w:szCs w:val="20"/>
          <w:lang w:val="es-419"/>
        </w:rPr>
        <w:t>ENLACE A AU PREVIA:</w:t>
      </w:r>
      <w:r w:rsidRPr="00E561E7">
        <w:rPr>
          <w:lang w:val="es-419"/>
        </w:rPr>
        <w:t xml:space="preserve"> </w:t>
      </w:r>
      <w:hyperlink r:id="rId10" w:history="1">
        <w:r w:rsidRPr="00E561E7">
          <w:rPr>
            <w:rStyle w:val="Hipervnculo"/>
            <w:lang w:val="es-419"/>
          </w:rPr>
          <w:t>https://www.amnesty.org/es/documents/amr46/7377/2023/es/</w:t>
        </w:r>
      </w:hyperlink>
      <w:r w:rsidRPr="00E561E7">
        <w:rPr>
          <w:lang w:val="es-419"/>
        </w:rPr>
        <w:t xml:space="preserve"> </w:t>
      </w:r>
    </w:p>
    <w:sectPr w:rsidR="00A368EA" w:rsidRPr="00E561E7" w:rsidSect="00A368EA">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339"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A9C0" w14:textId="77777777" w:rsidR="0048447D" w:rsidRDefault="0048447D">
      <w:r>
        <w:separator/>
      </w:r>
    </w:p>
  </w:endnote>
  <w:endnote w:type="continuationSeparator" w:id="0">
    <w:p w14:paraId="4BDF21AB" w14:textId="77777777" w:rsidR="0048447D" w:rsidRDefault="0048447D">
      <w:r>
        <w:continuationSeparator/>
      </w:r>
    </w:p>
  </w:endnote>
  <w:endnote w:type="continuationNotice" w:id="1">
    <w:p w14:paraId="1CD49457" w14:textId="77777777" w:rsidR="0048447D" w:rsidRDefault="00484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531E" w14:textId="77777777" w:rsidR="0048447D" w:rsidRDefault="0048447D">
      <w:r>
        <w:separator/>
      </w:r>
    </w:p>
  </w:footnote>
  <w:footnote w:type="continuationSeparator" w:id="0">
    <w:p w14:paraId="1D579605" w14:textId="77777777" w:rsidR="0048447D" w:rsidRDefault="0048447D">
      <w:r>
        <w:continuationSeparator/>
      </w:r>
    </w:p>
  </w:footnote>
  <w:footnote w:type="continuationNotice" w:id="1">
    <w:p w14:paraId="0FF94919" w14:textId="77777777" w:rsidR="0048447D" w:rsidRDefault="00484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18169A15" w:rsidR="007A3AEA" w:rsidRPr="00B7185F" w:rsidRDefault="009E3CB5" w:rsidP="00842EDC">
    <w:pPr>
      <w:tabs>
        <w:tab w:val="left" w:pos="6060"/>
        <w:tab w:val="right" w:pos="10203"/>
      </w:tabs>
      <w:spacing w:after="0"/>
      <w:rPr>
        <w:color w:val="FFFFFF"/>
        <w:lang w:val="es-419"/>
      </w:rPr>
    </w:pPr>
    <w:r>
      <w:rPr>
        <w:sz w:val="16"/>
        <w:szCs w:val="16"/>
        <w:lang w:val="es"/>
      </w:rPr>
      <w:t>Segunda AU: 106/23 Índice: AMR 46/</w:t>
    </w:r>
    <w:r w:rsidR="00B7185F">
      <w:rPr>
        <w:sz w:val="16"/>
        <w:szCs w:val="16"/>
        <w:lang w:val="es"/>
      </w:rPr>
      <w:t>7417</w:t>
    </w:r>
    <w:r>
      <w:rPr>
        <w:sz w:val="16"/>
        <w:szCs w:val="16"/>
        <w:lang w:val="es"/>
      </w:rPr>
      <w:t>/2023 Perú</w:t>
    </w:r>
    <w:r>
      <w:rPr>
        <w:sz w:val="16"/>
        <w:szCs w:val="16"/>
        <w:lang w:val="es"/>
      </w:rPr>
      <w:tab/>
    </w:r>
    <w:r>
      <w:rPr>
        <w:sz w:val="16"/>
        <w:szCs w:val="16"/>
        <w:lang w:val="es"/>
      </w:rPr>
      <w:tab/>
      <w:t>Fecha: 1</w:t>
    </w:r>
    <w:r w:rsidR="00B7185F">
      <w:rPr>
        <w:sz w:val="16"/>
        <w:szCs w:val="16"/>
        <w:lang w:val="es"/>
      </w:rPr>
      <w:t>5</w:t>
    </w:r>
    <w:r>
      <w:rPr>
        <w:sz w:val="16"/>
        <w:szCs w:val="16"/>
        <w:lang w:val="es"/>
      </w:rPr>
      <w:t xml:space="preserve"> de noviembre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0EE739F"/>
    <w:multiLevelType w:val="hybridMultilevel"/>
    <w:tmpl w:val="BCC0C0A4"/>
    <w:lvl w:ilvl="0" w:tplc="38F8F016">
      <w:numFmt w:val="bullet"/>
      <w:lvlText w:val="-"/>
      <w:lvlJc w:val="left"/>
      <w:pPr>
        <w:ind w:left="720" w:hanging="360"/>
      </w:pPr>
      <w:rPr>
        <w:rFonts w:ascii="Amnesty Trade Gothic" w:eastAsia="SimSun" w:hAnsi="Amnesty Trade Gothic" w:cs="Segoe U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130929">
    <w:abstractNumId w:val="0"/>
  </w:num>
  <w:num w:numId="2" w16cid:durableId="1846552671">
    <w:abstractNumId w:val="21"/>
  </w:num>
  <w:num w:numId="3" w16cid:durableId="824273839">
    <w:abstractNumId w:val="20"/>
  </w:num>
  <w:num w:numId="4" w16cid:durableId="1427462959">
    <w:abstractNumId w:val="10"/>
  </w:num>
  <w:num w:numId="5" w16cid:durableId="169295930">
    <w:abstractNumId w:val="4"/>
  </w:num>
  <w:num w:numId="6" w16cid:durableId="513229734">
    <w:abstractNumId w:val="19"/>
  </w:num>
  <w:num w:numId="7" w16cid:durableId="843933598">
    <w:abstractNumId w:val="17"/>
  </w:num>
  <w:num w:numId="8" w16cid:durableId="1245919485">
    <w:abstractNumId w:val="9"/>
  </w:num>
  <w:num w:numId="9" w16cid:durableId="987055058">
    <w:abstractNumId w:val="8"/>
  </w:num>
  <w:num w:numId="10" w16cid:durableId="466778404">
    <w:abstractNumId w:val="13"/>
  </w:num>
  <w:num w:numId="11" w16cid:durableId="630936499">
    <w:abstractNumId w:val="6"/>
  </w:num>
  <w:num w:numId="12" w16cid:durableId="1366826966">
    <w:abstractNumId w:val="14"/>
  </w:num>
  <w:num w:numId="13" w16cid:durableId="1765609476">
    <w:abstractNumId w:val="15"/>
  </w:num>
  <w:num w:numId="14" w16cid:durableId="1847400193">
    <w:abstractNumId w:val="2"/>
  </w:num>
  <w:num w:numId="15" w16cid:durableId="1196429308">
    <w:abstractNumId w:val="18"/>
  </w:num>
  <w:num w:numId="16" w16cid:durableId="453326707">
    <w:abstractNumId w:val="11"/>
  </w:num>
  <w:num w:numId="17" w16cid:durableId="1514800409">
    <w:abstractNumId w:val="12"/>
  </w:num>
  <w:num w:numId="18" w16cid:durableId="1847011252">
    <w:abstractNumId w:val="5"/>
  </w:num>
  <w:num w:numId="19" w16cid:durableId="357706548">
    <w:abstractNumId w:val="7"/>
  </w:num>
  <w:num w:numId="20" w16cid:durableId="1689872566">
    <w:abstractNumId w:val="16"/>
  </w:num>
  <w:num w:numId="21" w16cid:durableId="331878571">
    <w:abstractNumId w:val="3"/>
  </w:num>
  <w:num w:numId="22" w16cid:durableId="245774682">
    <w:abstractNumId w:val="22"/>
  </w:num>
  <w:num w:numId="23" w16cid:durableId="181675069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0EA"/>
    <w:rsid w:val="00000AF8"/>
    <w:rsid w:val="00001383"/>
    <w:rsid w:val="000014DE"/>
    <w:rsid w:val="00004D79"/>
    <w:rsid w:val="000058B2"/>
    <w:rsid w:val="00006629"/>
    <w:rsid w:val="00012F5F"/>
    <w:rsid w:val="00015DB1"/>
    <w:rsid w:val="00022139"/>
    <w:rsid w:val="0002386F"/>
    <w:rsid w:val="00034278"/>
    <w:rsid w:val="00045DD4"/>
    <w:rsid w:val="00057A7E"/>
    <w:rsid w:val="000648DF"/>
    <w:rsid w:val="000663FD"/>
    <w:rsid w:val="00071F58"/>
    <w:rsid w:val="00076037"/>
    <w:rsid w:val="00077572"/>
    <w:rsid w:val="000827FC"/>
    <w:rsid w:val="00083462"/>
    <w:rsid w:val="00087430"/>
    <w:rsid w:val="00087E2B"/>
    <w:rsid w:val="0009130D"/>
    <w:rsid w:val="00092DFA"/>
    <w:rsid w:val="000957C5"/>
    <w:rsid w:val="000A1F14"/>
    <w:rsid w:val="000B02B4"/>
    <w:rsid w:val="000B4A38"/>
    <w:rsid w:val="000C2A0D"/>
    <w:rsid w:val="000C41C8"/>
    <w:rsid w:val="000C49B7"/>
    <w:rsid w:val="000C6196"/>
    <w:rsid w:val="000D0ABB"/>
    <w:rsid w:val="000D3382"/>
    <w:rsid w:val="000D396F"/>
    <w:rsid w:val="000D4647"/>
    <w:rsid w:val="000D4E24"/>
    <w:rsid w:val="000D70C1"/>
    <w:rsid w:val="000E0D61"/>
    <w:rsid w:val="000E57D4"/>
    <w:rsid w:val="000F0471"/>
    <w:rsid w:val="000F3012"/>
    <w:rsid w:val="000F7D5C"/>
    <w:rsid w:val="00100FE4"/>
    <w:rsid w:val="0010425E"/>
    <w:rsid w:val="00106837"/>
    <w:rsid w:val="00106D61"/>
    <w:rsid w:val="001116E1"/>
    <w:rsid w:val="00114556"/>
    <w:rsid w:val="00116B13"/>
    <w:rsid w:val="001228B2"/>
    <w:rsid w:val="00124879"/>
    <w:rsid w:val="0012544D"/>
    <w:rsid w:val="001300C3"/>
    <w:rsid w:val="00130B8A"/>
    <w:rsid w:val="001437F2"/>
    <w:rsid w:val="00143C72"/>
    <w:rsid w:val="00145C3C"/>
    <w:rsid w:val="0014617E"/>
    <w:rsid w:val="001515C9"/>
    <w:rsid w:val="001526C3"/>
    <w:rsid w:val="0015270B"/>
    <w:rsid w:val="001561F4"/>
    <w:rsid w:val="0016118D"/>
    <w:rsid w:val="001648DB"/>
    <w:rsid w:val="00174398"/>
    <w:rsid w:val="001756B0"/>
    <w:rsid w:val="00176324"/>
    <w:rsid w:val="00176678"/>
    <w:rsid w:val="001773D1"/>
    <w:rsid w:val="00177779"/>
    <w:rsid w:val="0019118D"/>
    <w:rsid w:val="00194CD5"/>
    <w:rsid w:val="001A635D"/>
    <w:rsid w:val="001A6AC9"/>
    <w:rsid w:val="001B594F"/>
    <w:rsid w:val="001C5F16"/>
    <w:rsid w:val="001D52A5"/>
    <w:rsid w:val="001D5D9B"/>
    <w:rsid w:val="001E2045"/>
    <w:rsid w:val="001E25D9"/>
    <w:rsid w:val="001E272E"/>
    <w:rsid w:val="001E2815"/>
    <w:rsid w:val="001F0803"/>
    <w:rsid w:val="001F285D"/>
    <w:rsid w:val="00201189"/>
    <w:rsid w:val="002036C0"/>
    <w:rsid w:val="00214833"/>
    <w:rsid w:val="00215C3E"/>
    <w:rsid w:val="00215E33"/>
    <w:rsid w:val="00223976"/>
    <w:rsid w:val="00225A11"/>
    <w:rsid w:val="002558D7"/>
    <w:rsid w:val="0025792F"/>
    <w:rsid w:val="00261CC7"/>
    <w:rsid w:val="002665C3"/>
    <w:rsid w:val="00267383"/>
    <w:rsid w:val="002703E7"/>
    <w:rsid w:val="002709C3"/>
    <w:rsid w:val="00271499"/>
    <w:rsid w:val="00271771"/>
    <w:rsid w:val="002739C9"/>
    <w:rsid w:val="00273E9A"/>
    <w:rsid w:val="00295350"/>
    <w:rsid w:val="002964C3"/>
    <w:rsid w:val="002A07B3"/>
    <w:rsid w:val="002A2F36"/>
    <w:rsid w:val="002A5E19"/>
    <w:rsid w:val="002B2E9B"/>
    <w:rsid w:val="002C06A6"/>
    <w:rsid w:val="002C463F"/>
    <w:rsid w:val="002C5FE4"/>
    <w:rsid w:val="002C7F1F"/>
    <w:rsid w:val="002D42E5"/>
    <w:rsid w:val="002D48CD"/>
    <w:rsid w:val="002D5454"/>
    <w:rsid w:val="002D7E45"/>
    <w:rsid w:val="002E3658"/>
    <w:rsid w:val="002E399F"/>
    <w:rsid w:val="002E40A1"/>
    <w:rsid w:val="002F335E"/>
    <w:rsid w:val="002F3C80"/>
    <w:rsid w:val="0031230A"/>
    <w:rsid w:val="00313E8B"/>
    <w:rsid w:val="00320461"/>
    <w:rsid w:val="00320CC6"/>
    <w:rsid w:val="0032387A"/>
    <w:rsid w:val="00332A28"/>
    <w:rsid w:val="0033624A"/>
    <w:rsid w:val="003373A5"/>
    <w:rsid w:val="00337826"/>
    <w:rsid w:val="0034128A"/>
    <w:rsid w:val="0034324D"/>
    <w:rsid w:val="00344BCB"/>
    <w:rsid w:val="003512CC"/>
    <w:rsid w:val="00353210"/>
    <w:rsid w:val="0035329F"/>
    <w:rsid w:val="00355617"/>
    <w:rsid w:val="0035631F"/>
    <w:rsid w:val="00374026"/>
    <w:rsid w:val="00376EF4"/>
    <w:rsid w:val="00377268"/>
    <w:rsid w:val="00380355"/>
    <w:rsid w:val="0039027D"/>
    <w:rsid w:val="003904F0"/>
    <w:rsid w:val="00397503"/>
    <w:rsid w:val="003975C9"/>
    <w:rsid w:val="003B294A"/>
    <w:rsid w:val="003C1592"/>
    <w:rsid w:val="003C3210"/>
    <w:rsid w:val="003C5EEA"/>
    <w:rsid w:val="003C73F8"/>
    <w:rsid w:val="003C7CB6"/>
    <w:rsid w:val="003D36C5"/>
    <w:rsid w:val="003D6FD0"/>
    <w:rsid w:val="003E75C6"/>
    <w:rsid w:val="003F3D5D"/>
    <w:rsid w:val="0042210F"/>
    <w:rsid w:val="004334BF"/>
    <w:rsid w:val="004408A1"/>
    <w:rsid w:val="00442E5B"/>
    <w:rsid w:val="0044379B"/>
    <w:rsid w:val="00445856"/>
    <w:rsid w:val="00445D50"/>
    <w:rsid w:val="00453538"/>
    <w:rsid w:val="00455B78"/>
    <w:rsid w:val="00460143"/>
    <w:rsid w:val="004603A2"/>
    <w:rsid w:val="004746C6"/>
    <w:rsid w:val="0048284B"/>
    <w:rsid w:val="0048447D"/>
    <w:rsid w:val="00486088"/>
    <w:rsid w:val="00492FA8"/>
    <w:rsid w:val="004A00D6"/>
    <w:rsid w:val="004A051A"/>
    <w:rsid w:val="004A1BDD"/>
    <w:rsid w:val="004B1E15"/>
    <w:rsid w:val="004B2367"/>
    <w:rsid w:val="004B381D"/>
    <w:rsid w:val="004C265C"/>
    <w:rsid w:val="004C499C"/>
    <w:rsid w:val="004C71F5"/>
    <w:rsid w:val="004D41DC"/>
    <w:rsid w:val="004D7964"/>
    <w:rsid w:val="004E1B8C"/>
    <w:rsid w:val="004E70D3"/>
    <w:rsid w:val="004F32F0"/>
    <w:rsid w:val="004F457C"/>
    <w:rsid w:val="004F4FA2"/>
    <w:rsid w:val="00501AB5"/>
    <w:rsid w:val="005028EA"/>
    <w:rsid w:val="00504FBC"/>
    <w:rsid w:val="005063AD"/>
    <w:rsid w:val="00507FBD"/>
    <w:rsid w:val="00510D54"/>
    <w:rsid w:val="00517E88"/>
    <w:rsid w:val="00526E6F"/>
    <w:rsid w:val="005363CA"/>
    <w:rsid w:val="00542833"/>
    <w:rsid w:val="00542F58"/>
    <w:rsid w:val="00545423"/>
    <w:rsid w:val="00547E71"/>
    <w:rsid w:val="00560896"/>
    <w:rsid w:val="00565462"/>
    <w:rsid w:val="005668D0"/>
    <w:rsid w:val="00572CCD"/>
    <w:rsid w:val="0057440A"/>
    <w:rsid w:val="0057663F"/>
    <w:rsid w:val="00581A12"/>
    <w:rsid w:val="005856D5"/>
    <w:rsid w:val="00592C3E"/>
    <w:rsid w:val="00596449"/>
    <w:rsid w:val="005A1D79"/>
    <w:rsid w:val="005A3E28"/>
    <w:rsid w:val="005A71AD"/>
    <w:rsid w:val="005A7857"/>
    <w:rsid w:val="005A7F1B"/>
    <w:rsid w:val="005B227F"/>
    <w:rsid w:val="005B2DEB"/>
    <w:rsid w:val="005B59ED"/>
    <w:rsid w:val="005B5C5A"/>
    <w:rsid w:val="005C751F"/>
    <w:rsid w:val="005D14AA"/>
    <w:rsid w:val="005D2C37"/>
    <w:rsid w:val="005D3373"/>
    <w:rsid w:val="005D7287"/>
    <w:rsid w:val="005D7D1C"/>
    <w:rsid w:val="005E7D54"/>
    <w:rsid w:val="005F0355"/>
    <w:rsid w:val="005F5E43"/>
    <w:rsid w:val="00601492"/>
    <w:rsid w:val="00606108"/>
    <w:rsid w:val="006201FC"/>
    <w:rsid w:val="00620AA3"/>
    <w:rsid w:val="00620ADD"/>
    <w:rsid w:val="00621CA9"/>
    <w:rsid w:val="00623FA1"/>
    <w:rsid w:val="00637A31"/>
    <w:rsid w:val="00640EF2"/>
    <w:rsid w:val="0064432B"/>
    <w:rsid w:val="00646ADB"/>
    <w:rsid w:val="0064718C"/>
    <w:rsid w:val="0065049B"/>
    <w:rsid w:val="00650D73"/>
    <w:rsid w:val="006533D8"/>
    <w:rsid w:val="006558EE"/>
    <w:rsid w:val="00657231"/>
    <w:rsid w:val="00657B21"/>
    <w:rsid w:val="00662ECD"/>
    <w:rsid w:val="00666EBB"/>
    <w:rsid w:val="00667FBC"/>
    <w:rsid w:val="00685101"/>
    <w:rsid w:val="0069571A"/>
    <w:rsid w:val="006A0505"/>
    <w:rsid w:val="006A0BB9"/>
    <w:rsid w:val="006A5749"/>
    <w:rsid w:val="006B12FA"/>
    <w:rsid w:val="006B1B42"/>
    <w:rsid w:val="006B3E97"/>
    <w:rsid w:val="006B461E"/>
    <w:rsid w:val="006C3C21"/>
    <w:rsid w:val="006C46A4"/>
    <w:rsid w:val="006C55AD"/>
    <w:rsid w:val="006C7A31"/>
    <w:rsid w:val="006D163D"/>
    <w:rsid w:val="006D3387"/>
    <w:rsid w:val="006E1F80"/>
    <w:rsid w:val="006E74AF"/>
    <w:rsid w:val="006F3E6B"/>
    <w:rsid w:val="006F4C28"/>
    <w:rsid w:val="006F751C"/>
    <w:rsid w:val="00700A6A"/>
    <w:rsid w:val="00701726"/>
    <w:rsid w:val="0070364E"/>
    <w:rsid w:val="00704BA4"/>
    <w:rsid w:val="007104E8"/>
    <w:rsid w:val="007156FC"/>
    <w:rsid w:val="00716942"/>
    <w:rsid w:val="00716F77"/>
    <w:rsid w:val="007173E9"/>
    <w:rsid w:val="00717505"/>
    <w:rsid w:val="00720ABD"/>
    <w:rsid w:val="00727519"/>
    <w:rsid w:val="00727CA7"/>
    <w:rsid w:val="00732EEB"/>
    <w:rsid w:val="0073431C"/>
    <w:rsid w:val="0074088E"/>
    <w:rsid w:val="007539EB"/>
    <w:rsid w:val="00761183"/>
    <w:rsid w:val="00763C34"/>
    <w:rsid w:val="00764122"/>
    <w:rsid w:val="007656E7"/>
    <w:rsid w:val="007666A4"/>
    <w:rsid w:val="0077014E"/>
    <w:rsid w:val="0077262E"/>
    <w:rsid w:val="00773365"/>
    <w:rsid w:val="007763A1"/>
    <w:rsid w:val="007801B9"/>
    <w:rsid w:val="00780F86"/>
    <w:rsid w:val="00781624"/>
    <w:rsid w:val="00781E3C"/>
    <w:rsid w:val="007858BA"/>
    <w:rsid w:val="007A2ABA"/>
    <w:rsid w:val="007A3AEA"/>
    <w:rsid w:val="007A7F97"/>
    <w:rsid w:val="007B4F3E"/>
    <w:rsid w:val="007B7197"/>
    <w:rsid w:val="007C0B9E"/>
    <w:rsid w:val="007C2F0B"/>
    <w:rsid w:val="007C3CB5"/>
    <w:rsid w:val="007C5756"/>
    <w:rsid w:val="007C6CD0"/>
    <w:rsid w:val="007C7F1E"/>
    <w:rsid w:val="007F72FF"/>
    <w:rsid w:val="007F7B5E"/>
    <w:rsid w:val="008049BF"/>
    <w:rsid w:val="008056E9"/>
    <w:rsid w:val="0081049F"/>
    <w:rsid w:val="00814632"/>
    <w:rsid w:val="0082127B"/>
    <w:rsid w:val="008221E0"/>
    <w:rsid w:val="00827A40"/>
    <w:rsid w:val="00842EDC"/>
    <w:rsid w:val="00844F48"/>
    <w:rsid w:val="008455C2"/>
    <w:rsid w:val="00846E45"/>
    <w:rsid w:val="00860C89"/>
    <w:rsid w:val="00862ED2"/>
    <w:rsid w:val="00864035"/>
    <w:rsid w:val="00866873"/>
    <w:rsid w:val="008763F4"/>
    <w:rsid w:val="0088006C"/>
    <w:rsid w:val="008849EA"/>
    <w:rsid w:val="00891962"/>
    <w:rsid w:val="00891FE8"/>
    <w:rsid w:val="008A4D9D"/>
    <w:rsid w:val="008B01B9"/>
    <w:rsid w:val="008C3949"/>
    <w:rsid w:val="008C3B17"/>
    <w:rsid w:val="008D16ED"/>
    <w:rsid w:val="008D2A6B"/>
    <w:rsid w:val="008D49A5"/>
    <w:rsid w:val="008E0B66"/>
    <w:rsid w:val="008E172D"/>
    <w:rsid w:val="008E2B6F"/>
    <w:rsid w:val="008F0E4A"/>
    <w:rsid w:val="00902730"/>
    <w:rsid w:val="00906C9F"/>
    <w:rsid w:val="00913678"/>
    <w:rsid w:val="00921577"/>
    <w:rsid w:val="009215B2"/>
    <w:rsid w:val="00921956"/>
    <w:rsid w:val="009259E1"/>
    <w:rsid w:val="0095188F"/>
    <w:rsid w:val="009527E7"/>
    <w:rsid w:val="009550A0"/>
    <w:rsid w:val="00960C64"/>
    <w:rsid w:val="00962832"/>
    <w:rsid w:val="00963D4F"/>
    <w:rsid w:val="0097218E"/>
    <w:rsid w:val="00975C5E"/>
    <w:rsid w:val="00980425"/>
    <w:rsid w:val="0099176B"/>
    <w:rsid w:val="00991C69"/>
    <w:rsid w:val="009923C0"/>
    <w:rsid w:val="009A6531"/>
    <w:rsid w:val="009B2CEF"/>
    <w:rsid w:val="009B78FE"/>
    <w:rsid w:val="009C3521"/>
    <w:rsid w:val="009C4461"/>
    <w:rsid w:val="009C6B5A"/>
    <w:rsid w:val="009E097D"/>
    <w:rsid w:val="009E3CB5"/>
    <w:rsid w:val="009E7E6E"/>
    <w:rsid w:val="00A04997"/>
    <w:rsid w:val="00A07E67"/>
    <w:rsid w:val="00A1196F"/>
    <w:rsid w:val="00A233CE"/>
    <w:rsid w:val="00A238E9"/>
    <w:rsid w:val="00A31F72"/>
    <w:rsid w:val="00A368EA"/>
    <w:rsid w:val="00A40A17"/>
    <w:rsid w:val="00A41FC6"/>
    <w:rsid w:val="00A44B1B"/>
    <w:rsid w:val="00A4583A"/>
    <w:rsid w:val="00A5257E"/>
    <w:rsid w:val="00A536F9"/>
    <w:rsid w:val="00A70D9D"/>
    <w:rsid w:val="00A72A9A"/>
    <w:rsid w:val="00A72D44"/>
    <w:rsid w:val="00A7548F"/>
    <w:rsid w:val="00A81673"/>
    <w:rsid w:val="00A85874"/>
    <w:rsid w:val="00A876EF"/>
    <w:rsid w:val="00A90EA6"/>
    <w:rsid w:val="00A955CC"/>
    <w:rsid w:val="00AA491C"/>
    <w:rsid w:val="00AA627E"/>
    <w:rsid w:val="00AB3883"/>
    <w:rsid w:val="00AB5744"/>
    <w:rsid w:val="00AB5C6E"/>
    <w:rsid w:val="00AB7E5D"/>
    <w:rsid w:val="00AC15B7"/>
    <w:rsid w:val="00AC367F"/>
    <w:rsid w:val="00AC47C5"/>
    <w:rsid w:val="00AD7D2C"/>
    <w:rsid w:val="00AE4214"/>
    <w:rsid w:val="00AF0FCD"/>
    <w:rsid w:val="00AF5FF0"/>
    <w:rsid w:val="00B01EBC"/>
    <w:rsid w:val="00B12180"/>
    <w:rsid w:val="00B176BE"/>
    <w:rsid w:val="00B206A8"/>
    <w:rsid w:val="00B20971"/>
    <w:rsid w:val="00B22224"/>
    <w:rsid w:val="00B22402"/>
    <w:rsid w:val="00B22FBB"/>
    <w:rsid w:val="00B230C0"/>
    <w:rsid w:val="00B23533"/>
    <w:rsid w:val="00B25DEE"/>
    <w:rsid w:val="00B27341"/>
    <w:rsid w:val="00B320B6"/>
    <w:rsid w:val="00B408D4"/>
    <w:rsid w:val="00B46B5A"/>
    <w:rsid w:val="00B52B01"/>
    <w:rsid w:val="00B556C4"/>
    <w:rsid w:val="00B633D2"/>
    <w:rsid w:val="00B6690B"/>
    <w:rsid w:val="00B7185F"/>
    <w:rsid w:val="00B71F11"/>
    <w:rsid w:val="00B73D9C"/>
    <w:rsid w:val="00B74DBB"/>
    <w:rsid w:val="00B7525B"/>
    <w:rsid w:val="00B7545C"/>
    <w:rsid w:val="00B92AEC"/>
    <w:rsid w:val="00B93644"/>
    <w:rsid w:val="00B957E6"/>
    <w:rsid w:val="00B97626"/>
    <w:rsid w:val="00BA0E81"/>
    <w:rsid w:val="00BA6913"/>
    <w:rsid w:val="00BB0B3B"/>
    <w:rsid w:val="00BB218A"/>
    <w:rsid w:val="00BB511E"/>
    <w:rsid w:val="00BB7950"/>
    <w:rsid w:val="00BC45C0"/>
    <w:rsid w:val="00BC638A"/>
    <w:rsid w:val="00BC7111"/>
    <w:rsid w:val="00BD0B43"/>
    <w:rsid w:val="00BD5923"/>
    <w:rsid w:val="00BE0D92"/>
    <w:rsid w:val="00BE37EF"/>
    <w:rsid w:val="00BE4685"/>
    <w:rsid w:val="00BE4C1F"/>
    <w:rsid w:val="00BE6035"/>
    <w:rsid w:val="00BF4778"/>
    <w:rsid w:val="00BF7136"/>
    <w:rsid w:val="00C07F62"/>
    <w:rsid w:val="00C10041"/>
    <w:rsid w:val="00C14867"/>
    <w:rsid w:val="00C158B9"/>
    <w:rsid w:val="00C162AD"/>
    <w:rsid w:val="00C17D6F"/>
    <w:rsid w:val="00C22BCC"/>
    <w:rsid w:val="00C23DEF"/>
    <w:rsid w:val="00C31526"/>
    <w:rsid w:val="00C359CF"/>
    <w:rsid w:val="00C370BB"/>
    <w:rsid w:val="00C415B8"/>
    <w:rsid w:val="00C460DB"/>
    <w:rsid w:val="00C46B3A"/>
    <w:rsid w:val="00C50CEC"/>
    <w:rsid w:val="00C50D00"/>
    <w:rsid w:val="00C538D1"/>
    <w:rsid w:val="00C57927"/>
    <w:rsid w:val="00C607FB"/>
    <w:rsid w:val="00C70379"/>
    <w:rsid w:val="00C76EE0"/>
    <w:rsid w:val="00C8330C"/>
    <w:rsid w:val="00C835C9"/>
    <w:rsid w:val="00C85BFA"/>
    <w:rsid w:val="00C85EFE"/>
    <w:rsid w:val="00C934DE"/>
    <w:rsid w:val="00C93CB2"/>
    <w:rsid w:val="00CA13A3"/>
    <w:rsid w:val="00CA51AF"/>
    <w:rsid w:val="00CA5CB1"/>
    <w:rsid w:val="00CA7559"/>
    <w:rsid w:val="00CB25A4"/>
    <w:rsid w:val="00CB4390"/>
    <w:rsid w:val="00CD2995"/>
    <w:rsid w:val="00CE01B1"/>
    <w:rsid w:val="00CF3B45"/>
    <w:rsid w:val="00CF7805"/>
    <w:rsid w:val="00D007F8"/>
    <w:rsid w:val="00D030C9"/>
    <w:rsid w:val="00D05A52"/>
    <w:rsid w:val="00D07A70"/>
    <w:rsid w:val="00D07FA4"/>
    <w:rsid w:val="00D114C6"/>
    <w:rsid w:val="00D124A4"/>
    <w:rsid w:val="00D134D4"/>
    <w:rsid w:val="00D142D0"/>
    <w:rsid w:val="00D23D90"/>
    <w:rsid w:val="00D2487B"/>
    <w:rsid w:val="00D26BF9"/>
    <w:rsid w:val="00D31A8F"/>
    <w:rsid w:val="00D35879"/>
    <w:rsid w:val="00D462F4"/>
    <w:rsid w:val="00D46EFD"/>
    <w:rsid w:val="00D47210"/>
    <w:rsid w:val="00D54217"/>
    <w:rsid w:val="00D54F8F"/>
    <w:rsid w:val="00D57929"/>
    <w:rsid w:val="00D6239F"/>
    <w:rsid w:val="00D62977"/>
    <w:rsid w:val="00D635A1"/>
    <w:rsid w:val="00D6411A"/>
    <w:rsid w:val="00D643CC"/>
    <w:rsid w:val="00D67ABF"/>
    <w:rsid w:val="00D72D02"/>
    <w:rsid w:val="00D7493B"/>
    <w:rsid w:val="00D749E6"/>
    <w:rsid w:val="00D75393"/>
    <w:rsid w:val="00D75F34"/>
    <w:rsid w:val="00D76905"/>
    <w:rsid w:val="00D7748A"/>
    <w:rsid w:val="00D80E0A"/>
    <w:rsid w:val="00D834E2"/>
    <w:rsid w:val="00D839E9"/>
    <w:rsid w:val="00D844EE"/>
    <w:rsid w:val="00D847F8"/>
    <w:rsid w:val="00D850DF"/>
    <w:rsid w:val="00D90465"/>
    <w:rsid w:val="00D905EC"/>
    <w:rsid w:val="00D92D35"/>
    <w:rsid w:val="00D979F2"/>
    <w:rsid w:val="00DA0840"/>
    <w:rsid w:val="00DA1C76"/>
    <w:rsid w:val="00DA683E"/>
    <w:rsid w:val="00DB6ECD"/>
    <w:rsid w:val="00DB7D74"/>
    <w:rsid w:val="00DC3C0D"/>
    <w:rsid w:val="00DC65A4"/>
    <w:rsid w:val="00DD346F"/>
    <w:rsid w:val="00DD669F"/>
    <w:rsid w:val="00DF1141"/>
    <w:rsid w:val="00DF1EBE"/>
    <w:rsid w:val="00DF3644"/>
    <w:rsid w:val="00DF3DF5"/>
    <w:rsid w:val="00DF63A6"/>
    <w:rsid w:val="00E04A7D"/>
    <w:rsid w:val="00E04AF0"/>
    <w:rsid w:val="00E05091"/>
    <w:rsid w:val="00E12FD3"/>
    <w:rsid w:val="00E151AD"/>
    <w:rsid w:val="00E22821"/>
    <w:rsid w:val="00E22AAE"/>
    <w:rsid w:val="00E26FD2"/>
    <w:rsid w:val="00E31A62"/>
    <w:rsid w:val="00E37B98"/>
    <w:rsid w:val="00E406B4"/>
    <w:rsid w:val="00E40EAA"/>
    <w:rsid w:val="00E42F8F"/>
    <w:rsid w:val="00E43F3A"/>
    <w:rsid w:val="00E45B15"/>
    <w:rsid w:val="00E51F08"/>
    <w:rsid w:val="00E52E3B"/>
    <w:rsid w:val="00E55EC4"/>
    <w:rsid w:val="00E561E7"/>
    <w:rsid w:val="00E63CEF"/>
    <w:rsid w:val="00E65D5E"/>
    <w:rsid w:val="00E67C6B"/>
    <w:rsid w:val="00E707D9"/>
    <w:rsid w:val="00E738BE"/>
    <w:rsid w:val="00E7569C"/>
    <w:rsid w:val="00E76516"/>
    <w:rsid w:val="00E778FE"/>
    <w:rsid w:val="00E85702"/>
    <w:rsid w:val="00E9601A"/>
    <w:rsid w:val="00EA1562"/>
    <w:rsid w:val="00EA2622"/>
    <w:rsid w:val="00EA68CE"/>
    <w:rsid w:val="00EB1903"/>
    <w:rsid w:val="00EB1C45"/>
    <w:rsid w:val="00EB51EB"/>
    <w:rsid w:val="00EC56A5"/>
    <w:rsid w:val="00EC677A"/>
    <w:rsid w:val="00EF284E"/>
    <w:rsid w:val="00F218BC"/>
    <w:rsid w:val="00F25445"/>
    <w:rsid w:val="00F267D6"/>
    <w:rsid w:val="00F322A8"/>
    <w:rsid w:val="00F3436F"/>
    <w:rsid w:val="00F45927"/>
    <w:rsid w:val="00F65D4B"/>
    <w:rsid w:val="00F7577A"/>
    <w:rsid w:val="00F771BD"/>
    <w:rsid w:val="00F832C4"/>
    <w:rsid w:val="00F83EDB"/>
    <w:rsid w:val="00F91619"/>
    <w:rsid w:val="00F93094"/>
    <w:rsid w:val="00F9400E"/>
    <w:rsid w:val="00FA0E6B"/>
    <w:rsid w:val="00FA1C07"/>
    <w:rsid w:val="00FA2A17"/>
    <w:rsid w:val="00FA48E3"/>
    <w:rsid w:val="00FA4E88"/>
    <w:rsid w:val="00FA5916"/>
    <w:rsid w:val="00FA7368"/>
    <w:rsid w:val="00FB2CBD"/>
    <w:rsid w:val="00FB54DD"/>
    <w:rsid w:val="00FB6A97"/>
    <w:rsid w:val="00FB7BB7"/>
    <w:rsid w:val="00FC01A6"/>
    <w:rsid w:val="00FD0679"/>
    <w:rsid w:val="00FD443E"/>
    <w:rsid w:val="00FD4694"/>
    <w:rsid w:val="00FE2FF5"/>
    <w:rsid w:val="00FE3A73"/>
    <w:rsid w:val="00FF106D"/>
    <w:rsid w:val="00FF4725"/>
    <w:rsid w:val="00FF799B"/>
    <w:rsid w:val="03518FB7"/>
    <w:rsid w:val="090DC44C"/>
    <w:rsid w:val="0D242832"/>
    <w:rsid w:val="2108EDC0"/>
    <w:rsid w:val="278449A0"/>
    <w:rsid w:val="28BA1DCD"/>
    <w:rsid w:val="338EF0BC"/>
    <w:rsid w:val="3AB4B8F9"/>
    <w:rsid w:val="3CEED942"/>
    <w:rsid w:val="3DEC59BB"/>
    <w:rsid w:val="405AD72C"/>
    <w:rsid w:val="4271851D"/>
    <w:rsid w:val="439277EE"/>
    <w:rsid w:val="5823BD56"/>
    <w:rsid w:val="58D7C2FB"/>
    <w:rsid w:val="58DCD47F"/>
    <w:rsid w:val="5BEFF21E"/>
    <w:rsid w:val="614290F4"/>
    <w:rsid w:val="621DDFCD"/>
    <w:rsid w:val="69D2122A"/>
    <w:rsid w:val="6A15389B"/>
    <w:rsid w:val="6A7AE9E1"/>
    <w:rsid w:val="6FB0C8BF"/>
    <w:rsid w:val="7C9354B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paragraph" w:styleId="Revisin">
    <w:name w:val="Revision"/>
    <w:hidden/>
    <w:uiPriority w:val="99"/>
    <w:semiHidden/>
    <w:rsid w:val="00C70379"/>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604193324">
      <w:bodyDiv w:val="1"/>
      <w:marLeft w:val="0"/>
      <w:marRight w:val="0"/>
      <w:marTop w:val="0"/>
      <w:marBottom w:val="0"/>
      <w:divBdr>
        <w:top w:val="none" w:sz="0" w:space="0" w:color="auto"/>
        <w:left w:val="none" w:sz="0" w:space="0" w:color="auto"/>
        <w:bottom w:val="none" w:sz="0" w:space="0" w:color="auto"/>
        <w:right w:val="none" w:sz="0" w:space="0" w:color="auto"/>
      </w:divBdr>
    </w:div>
    <w:div w:id="754209209">
      <w:bodyDiv w:val="1"/>
      <w:marLeft w:val="0"/>
      <w:marRight w:val="0"/>
      <w:marTop w:val="0"/>
      <w:marBottom w:val="0"/>
      <w:divBdr>
        <w:top w:val="none" w:sz="0" w:space="0" w:color="auto"/>
        <w:left w:val="none" w:sz="0" w:space="0" w:color="auto"/>
        <w:bottom w:val="none" w:sz="0" w:space="0" w:color="auto"/>
        <w:right w:val="none" w:sz="0" w:space="0" w:color="auto"/>
      </w:divBdr>
      <w:divsChild>
        <w:div w:id="1145387849">
          <w:marLeft w:val="0"/>
          <w:marRight w:val="0"/>
          <w:marTop w:val="0"/>
          <w:marBottom w:val="0"/>
          <w:divBdr>
            <w:top w:val="single" w:sz="2" w:space="0" w:color="000000"/>
            <w:left w:val="single" w:sz="2" w:space="0" w:color="000000"/>
            <w:bottom w:val="single" w:sz="2" w:space="0" w:color="000000"/>
            <w:right w:val="single" w:sz="2" w:space="0" w:color="000000"/>
          </w:divBdr>
          <w:divsChild>
            <w:div w:id="619532232">
              <w:marLeft w:val="0"/>
              <w:marRight w:val="0"/>
              <w:marTop w:val="0"/>
              <w:marBottom w:val="0"/>
              <w:divBdr>
                <w:top w:val="single" w:sz="2" w:space="0" w:color="000000"/>
                <w:left w:val="single" w:sz="2" w:space="0" w:color="000000"/>
                <w:bottom w:val="single" w:sz="2" w:space="0" w:color="000000"/>
                <w:right w:val="single" w:sz="2" w:space="0" w:color="000000"/>
              </w:divBdr>
              <w:divsChild>
                <w:div w:id="1383750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50183745">
          <w:marLeft w:val="0"/>
          <w:marRight w:val="0"/>
          <w:marTop w:val="0"/>
          <w:marBottom w:val="0"/>
          <w:divBdr>
            <w:top w:val="single" w:sz="2" w:space="0" w:color="000000"/>
            <w:left w:val="single" w:sz="2" w:space="0" w:color="000000"/>
            <w:bottom w:val="single" w:sz="2" w:space="0" w:color="000000"/>
            <w:right w:val="single" w:sz="2" w:space="0" w:color="000000"/>
          </w:divBdr>
          <w:divsChild>
            <w:div w:id="1253858690">
              <w:marLeft w:val="0"/>
              <w:marRight w:val="0"/>
              <w:marTop w:val="0"/>
              <w:marBottom w:val="0"/>
              <w:divBdr>
                <w:top w:val="single" w:sz="2" w:space="0" w:color="000000"/>
                <w:left w:val="single" w:sz="2" w:space="0" w:color="000000"/>
                <w:bottom w:val="single" w:sz="2" w:space="0" w:color="000000"/>
                <w:right w:val="single" w:sz="2" w:space="0" w:color="000000"/>
              </w:divBdr>
              <w:divsChild>
                <w:div w:id="1277983141">
                  <w:marLeft w:val="0"/>
                  <w:marRight w:val="0"/>
                  <w:marTop w:val="0"/>
                  <w:marBottom w:val="0"/>
                  <w:divBdr>
                    <w:top w:val="single" w:sz="2" w:space="0" w:color="000000"/>
                    <w:left w:val="single" w:sz="2" w:space="0" w:color="000000"/>
                    <w:bottom w:val="single" w:sz="2" w:space="0" w:color="000000"/>
                    <w:right w:val="single" w:sz="2" w:space="0" w:color="000000"/>
                  </w:divBdr>
                  <w:divsChild>
                    <w:div w:id="257581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847405254">
      <w:bodyDiv w:val="1"/>
      <w:marLeft w:val="0"/>
      <w:marRight w:val="0"/>
      <w:marTop w:val="0"/>
      <w:marBottom w:val="0"/>
      <w:divBdr>
        <w:top w:val="none" w:sz="0" w:space="0" w:color="auto"/>
        <w:left w:val="none" w:sz="0" w:space="0" w:color="auto"/>
        <w:bottom w:val="none" w:sz="0" w:space="0" w:color="auto"/>
        <w:right w:val="none" w:sz="0" w:space="0" w:color="auto"/>
      </w:divBdr>
      <w:divsChild>
        <w:div w:id="1735424706">
          <w:marLeft w:val="0"/>
          <w:marRight w:val="0"/>
          <w:marTop w:val="0"/>
          <w:marBottom w:val="0"/>
          <w:divBdr>
            <w:top w:val="single" w:sz="2" w:space="0" w:color="000000"/>
            <w:left w:val="single" w:sz="2" w:space="0" w:color="000000"/>
            <w:bottom w:val="single" w:sz="2" w:space="0" w:color="000000"/>
            <w:right w:val="single" w:sz="2" w:space="0" w:color="000000"/>
          </w:divBdr>
          <w:divsChild>
            <w:div w:id="469904793">
              <w:marLeft w:val="0"/>
              <w:marRight w:val="0"/>
              <w:marTop w:val="0"/>
              <w:marBottom w:val="0"/>
              <w:divBdr>
                <w:top w:val="single" w:sz="2" w:space="0" w:color="000000"/>
                <w:left w:val="single" w:sz="2" w:space="0" w:color="000000"/>
                <w:bottom w:val="single" w:sz="2" w:space="0" w:color="000000"/>
                <w:right w:val="single" w:sz="2" w:space="0" w:color="000000"/>
              </w:divBdr>
              <w:divsChild>
                <w:div w:id="425880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63401041">
          <w:marLeft w:val="0"/>
          <w:marRight w:val="0"/>
          <w:marTop w:val="0"/>
          <w:marBottom w:val="0"/>
          <w:divBdr>
            <w:top w:val="single" w:sz="2" w:space="0" w:color="000000"/>
            <w:left w:val="single" w:sz="2" w:space="0" w:color="000000"/>
            <w:bottom w:val="single" w:sz="2" w:space="0" w:color="000000"/>
            <w:right w:val="single" w:sz="2" w:space="0" w:color="000000"/>
          </w:divBdr>
          <w:divsChild>
            <w:div w:id="718552478">
              <w:marLeft w:val="0"/>
              <w:marRight w:val="0"/>
              <w:marTop w:val="0"/>
              <w:marBottom w:val="0"/>
              <w:divBdr>
                <w:top w:val="single" w:sz="2" w:space="0" w:color="000000"/>
                <w:left w:val="single" w:sz="2" w:space="0" w:color="000000"/>
                <w:bottom w:val="single" w:sz="2" w:space="0" w:color="000000"/>
                <w:right w:val="single" w:sz="2" w:space="0" w:color="000000"/>
              </w:divBdr>
              <w:divsChild>
                <w:div w:id="434903219">
                  <w:marLeft w:val="0"/>
                  <w:marRight w:val="0"/>
                  <w:marTop w:val="0"/>
                  <w:marBottom w:val="0"/>
                  <w:divBdr>
                    <w:top w:val="single" w:sz="2" w:space="0" w:color="000000"/>
                    <w:left w:val="single" w:sz="2" w:space="0" w:color="000000"/>
                    <w:bottom w:val="single" w:sz="2" w:space="0" w:color="000000"/>
                    <w:right w:val="single" w:sz="2" w:space="0" w:color="000000"/>
                  </w:divBdr>
                  <w:divsChild>
                    <w:div w:id="3481444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613591346">
      <w:bodyDiv w:val="1"/>
      <w:marLeft w:val="0"/>
      <w:marRight w:val="0"/>
      <w:marTop w:val="0"/>
      <w:marBottom w:val="0"/>
      <w:divBdr>
        <w:top w:val="none" w:sz="0" w:space="0" w:color="auto"/>
        <w:left w:val="none" w:sz="0" w:space="0" w:color="auto"/>
        <w:bottom w:val="none" w:sz="0" w:space="0" w:color="auto"/>
        <w:right w:val="none" w:sz="0" w:space="0" w:color="auto"/>
      </w:divBdr>
    </w:div>
    <w:div w:id="1907371731">
      <w:bodyDiv w:val="1"/>
      <w:marLeft w:val="0"/>
      <w:marRight w:val="0"/>
      <w:marTop w:val="0"/>
      <w:marBottom w:val="0"/>
      <w:divBdr>
        <w:top w:val="none" w:sz="0" w:space="0" w:color="auto"/>
        <w:left w:val="none" w:sz="0" w:space="0" w:color="auto"/>
        <w:bottom w:val="none" w:sz="0" w:space="0" w:color="auto"/>
        <w:right w:val="none" w:sz="0" w:space="0" w:color="auto"/>
      </w:divBdr>
      <w:divsChild>
        <w:div w:id="1155997224">
          <w:marLeft w:val="0"/>
          <w:marRight w:val="0"/>
          <w:marTop w:val="0"/>
          <w:marBottom w:val="0"/>
          <w:divBdr>
            <w:top w:val="single" w:sz="2" w:space="0" w:color="000000"/>
            <w:left w:val="single" w:sz="2" w:space="0" w:color="000000"/>
            <w:bottom w:val="single" w:sz="2" w:space="0" w:color="000000"/>
            <w:right w:val="single" w:sz="2" w:space="0" w:color="000000"/>
          </w:divBdr>
          <w:divsChild>
            <w:div w:id="82071876">
              <w:marLeft w:val="0"/>
              <w:marRight w:val="0"/>
              <w:marTop w:val="0"/>
              <w:marBottom w:val="0"/>
              <w:divBdr>
                <w:top w:val="single" w:sz="2" w:space="0" w:color="000000"/>
                <w:left w:val="single" w:sz="2" w:space="0" w:color="000000"/>
                <w:bottom w:val="single" w:sz="2" w:space="0" w:color="000000"/>
                <w:right w:val="single" w:sz="2" w:space="0" w:color="000000"/>
              </w:divBdr>
              <w:divsChild>
                <w:div w:id="7093089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8274520">
          <w:marLeft w:val="0"/>
          <w:marRight w:val="0"/>
          <w:marTop w:val="0"/>
          <w:marBottom w:val="0"/>
          <w:divBdr>
            <w:top w:val="single" w:sz="2" w:space="0" w:color="000000"/>
            <w:left w:val="single" w:sz="2" w:space="0" w:color="000000"/>
            <w:bottom w:val="single" w:sz="2" w:space="0" w:color="000000"/>
            <w:right w:val="single" w:sz="2" w:space="0" w:color="000000"/>
          </w:divBdr>
          <w:divsChild>
            <w:div w:id="2078891337">
              <w:marLeft w:val="0"/>
              <w:marRight w:val="0"/>
              <w:marTop w:val="0"/>
              <w:marBottom w:val="0"/>
              <w:divBdr>
                <w:top w:val="single" w:sz="2" w:space="0" w:color="000000"/>
                <w:left w:val="single" w:sz="2" w:space="0" w:color="000000"/>
                <w:bottom w:val="single" w:sz="2" w:space="0" w:color="000000"/>
                <w:right w:val="single" w:sz="2" w:space="0" w:color="000000"/>
              </w:divBdr>
              <w:divsChild>
                <w:div w:id="2041202803">
                  <w:marLeft w:val="0"/>
                  <w:marRight w:val="0"/>
                  <w:marTop w:val="0"/>
                  <w:marBottom w:val="0"/>
                  <w:divBdr>
                    <w:top w:val="single" w:sz="2" w:space="0" w:color="000000"/>
                    <w:left w:val="single" w:sz="2" w:space="0" w:color="000000"/>
                    <w:bottom w:val="single" w:sz="2" w:space="0" w:color="000000"/>
                    <w:right w:val="single" w:sz="2" w:space="0" w:color="000000"/>
                  </w:divBdr>
                  <w:divsChild>
                    <w:div w:id="2095008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46/2400/2020/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org/es/latest/news/2023/09/facts-figures-venezuelans-colombia-ecuador-peru-chil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s/documents/amr46/7377/2023/es/" TargetMode="External"/><Relationship Id="rId4" Type="http://schemas.openxmlformats.org/officeDocument/2006/relationships/webSettings" Target="webSettings.xml"/><Relationship Id="rId9" Type="http://schemas.openxmlformats.org/officeDocument/2006/relationships/hyperlink" Target="https://www.amnesty.org/es/documents/amr46/5033/2021/e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1461</Words>
  <Characters>8039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2023-11-15T18:09:00Z</dcterms:created>
  <dcterms:modified xsi:type="dcterms:W3CDTF">2023-11-15T18:09:00Z</dcterms:modified>
</cp:coreProperties>
</file>