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E55B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AE55BD" w:rsidRDefault="005D2C37" w:rsidP="00980425">
      <w:pPr>
        <w:pStyle w:val="Default"/>
        <w:ind w:left="-283"/>
        <w:rPr>
          <w:b/>
          <w:sz w:val="18"/>
          <w:szCs w:val="18"/>
          <w:lang w:val="es-ES"/>
        </w:rPr>
      </w:pPr>
    </w:p>
    <w:p w14:paraId="59F30C56" w14:textId="1F764932" w:rsidR="00F57E56" w:rsidRPr="00AE55BD" w:rsidRDefault="00854BF9" w:rsidP="00F57E56">
      <w:pPr>
        <w:spacing w:after="0"/>
        <w:ind w:left="-283"/>
        <w:rPr>
          <w:rFonts w:ascii="Arial" w:hAnsi="Arial" w:cs="Arial"/>
          <w:b/>
          <w:i/>
          <w:sz w:val="32"/>
          <w:lang w:val="es-ES"/>
        </w:rPr>
      </w:pPr>
      <w:r>
        <w:rPr>
          <w:rFonts w:ascii="Arial" w:hAnsi="Arial" w:cs="Arial"/>
          <w:b/>
          <w:bCs/>
          <w:sz w:val="32"/>
          <w:lang w:val="es"/>
        </w:rPr>
        <w:t>DOS HOMBRES JÓVENES, EN PELIGRO INMINENTE DE EJECUCIÓN</w:t>
      </w:r>
    </w:p>
    <w:p w14:paraId="7B15F12B" w14:textId="1BD0F64F" w:rsidR="00F57E56" w:rsidRPr="00AE55BD" w:rsidRDefault="00F57E56" w:rsidP="00D02218">
      <w:pPr>
        <w:spacing w:after="0"/>
        <w:ind w:left="-283"/>
        <w:jc w:val="both"/>
        <w:rPr>
          <w:rFonts w:ascii="Arial" w:eastAsia="Times New Roman" w:hAnsi="Arial" w:cs="Arial"/>
          <w:b/>
          <w:color w:val="262626"/>
          <w:sz w:val="20"/>
          <w:szCs w:val="20"/>
          <w:lang w:val="es-ES"/>
        </w:rPr>
      </w:pPr>
      <w:r>
        <w:rPr>
          <w:rFonts w:ascii="Arial" w:hAnsi="Arial" w:cs="Arial"/>
          <w:b/>
          <w:bCs/>
          <w:sz w:val="20"/>
          <w:szCs w:val="20"/>
          <w:lang w:val="es"/>
        </w:rPr>
        <w:t xml:space="preserve">Abdullah al </w:t>
      </w:r>
      <w:proofErr w:type="spellStart"/>
      <w:r>
        <w:rPr>
          <w:rFonts w:ascii="Arial" w:hAnsi="Arial" w:cs="Arial"/>
          <w:b/>
          <w:bCs/>
          <w:sz w:val="20"/>
          <w:szCs w:val="20"/>
          <w:lang w:val="es"/>
        </w:rPr>
        <w:t>Derazi</w:t>
      </w:r>
      <w:proofErr w:type="spellEnd"/>
      <w:r>
        <w:rPr>
          <w:rFonts w:ascii="Arial" w:hAnsi="Arial" w:cs="Arial"/>
          <w:b/>
          <w:bCs/>
          <w:sz w:val="20"/>
          <w:szCs w:val="20"/>
          <w:lang w:val="es"/>
        </w:rPr>
        <w:t xml:space="preserve"> y </w:t>
      </w:r>
      <w:proofErr w:type="spellStart"/>
      <w:r>
        <w:rPr>
          <w:rFonts w:ascii="Arial" w:hAnsi="Arial" w:cs="Arial"/>
          <w:b/>
          <w:bCs/>
          <w:sz w:val="20"/>
          <w:szCs w:val="20"/>
          <w:lang w:val="es"/>
        </w:rPr>
        <w:t>Jalal</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Labbad</w:t>
      </w:r>
      <w:proofErr w:type="spellEnd"/>
      <w:r>
        <w:rPr>
          <w:rFonts w:ascii="Arial" w:hAnsi="Arial" w:cs="Arial"/>
          <w:b/>
          <w:bCs/>
          <w:sz w:val="20"/>
          <w:szCs w:val="20"/>
          <w:lang w:val="es"/>
        </w:rPr>
        <w:t xml:space="preserve"> corren peligro inminente de ejecución después de que el Tribunal Supremo de Arabia Saudí confirmara en secreto sus condenas a muerte sin notificárselo a sus familiares ni a sus abogados. </w:t>
      </w:r>
      <w:r>
        <w:rPr>
          <w:rFonts w:ascii="Arial" w:hAnsi="Arial" w:cs="Arial"/>
          <w:b/>
          <w:bCs/>
          <w:color w:val="262626"/>
          <w:sz w:val="20"/>
          <w:szCs w:val="20"/>
          <w:lang w:val="es"/>
        </w:rPr>
        <w:t>Los dos jóvenes eran menores de 18 años en el momento de la comisión de los presuntos delitos y fueron declarados culpables de delitos relacionados con su participación en protestas contra el gobierno tras juicios manifiestamente injustos que se basaron principalmente en confesiones obtenidas bajo tortura. Los jóvenes han agotado todos los recursos legales nacionales y podrían ser ejecutados en cualquier momento si el rey Salman ratifica sus condenas a muerte.</w:t>
      </w:r>
    </w:p>
    <w:p w14:paraId="6F77D19E" w14:textId="77777777" w:rsidR="00F57E56" w:rsidRPr="00AE55BD" w:rsidRDefault="00F57E56" w:rsidP="00EA68CE">
      <w:pPr>
        <w:spacing w:after="0"/>
        <w:ind w:left="-283"/>
        <w:rPr>
          <w:rFonts w:ascii="Arial" w:hAnsi="Arial" w:cs="Arial"/>
          <w:b/>
          <w:lang w:val="es-ES"/>
        </w:rPr>
      </w:pPr>
    </w:p>
    <w:p w14:paraId="5217CC85" w14:textId="77777777" w:rsidR="005D2C37" w:rsidRPr="00AE55BD" w:rsidRDefault="005D2C37" w:rsidP="00980425">
      <w:pPr>
        <w:spacing w:after="0" w:line="240" w:lineRule="auto"/>
        <w:ind w:left="-283"/>
        <w:rPr>
          <w:rFonts w:ascii="Arial" w:hAnsi="Arial" w:cs="Arial"/>
          <w:b/>
          <w:lang w:val="es-ES"/>
        </w:rPr>
      </w:pPr>
    </w:p>
    <w:p w14:paraId="760DDE4F" w14:textId="77777777" w:rsidR="005D2C37" w:rsidRPr="00AE55B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77777777" w:rsidR="005D2C37" w:rsidRPr="00AE55BD" w:rsidRDefault="005D2C37" w:rsidP="58968F9F">
      <w:pPr>
        <w:spacing w:line="240" w:lineRule="auto"/>
        <w:ind w:left="-283"/>
        <w:rPr>
          <w:rFonts w:ascii="Arial" w:hAnsi="Arial" w:cs="Arial"/>
          <w:b/>
          <w:bCs/>
          <w:sz w:val="20"/>
          <w:szCs w:val="20"/>
          <w:lang w:val="es-ES"/>
        </w:rPr>
      </w:pPr>
    </w:p>
    <w:p w14:paraId="545C7FE1" w14:textId="77777777" w:rsidR="00AE55BD" w:rsidRPr="00AE55BD" w:rsidRDefault="00C96401" w:rsidP="00C96401">
      <w:pPr>
        <w:spacing w:after="0" w:line="240" w:lineRule="auto"/>
        <w:ind w:left="-283"/>
        <w:jc w:val="right"/>
        <w:rPr>
          <w:rFonts w:cs="Arial"/>
          <w:b/>
          <w:bCs/>
          <w:i/>
          <w:iCs/>
          <w:sz w:val="20"/>
          <w:szCs w:val="20"/>
          <w:lang w:val="en-US"/>
        </w:rPr>
      </w:pPr>
      <w:r w:rsidRPr="00AE55BD">
        <w:rPr>
          <w:rFonts w:cs="Arial"/>
          <w:b/>
          <w:bCs/>
          <w:i/>
          <w:iCs/>
          <w:sz w:val="20"/>
          <w:szCs w:val="20"/>
          <w:u w:val="single"/>
          <w:lang w:val="en-US"/>
        </w:rPr>
        <w:t>Rey Salman bin Abdul Aziz al Saud</w:t>
      </w:r>
    </w:p>
    <w:p w14:paraId="2D39ED4A" w14:textId="185A1ECE" w:rsidR="00C96401" w:rsidRPr="00AE55BD" w:rsidRDefault="00C96401" w:rsidP="00C96401">
      <w:pPr>
        <w:spacing w:after="0" w:line="240" w:lineRule="auto"/>
        <w:ind w:left="-283"/>
        <w:jc w:val="right"/>
        <w:rPr>
          <w:rFonts w:cs="Arial"/>
          <w:i/>
          <w:sz w:val="20"/>
          <w:szCs w:val="20"/>
          <w:u w:val="single"/>
        </w:rPr>
      </w:pPr>
      <w:r w:rsidRPr="00AE55BD">
        <w:rPr>
          <w:rFonts w:cs="Arial"/>
          <w:i/>
          <w:iCs/>
          <w:sz w:val="20"/>
          <w:szCs w:val="20"/>
          <w:lang w:val="en-US"/>
        </w:rPr>
        <w:t>King Salman bin Abdul Aziz Al Saud</w:t>
      </w:r>
    </w:p>
    <w:p w14:paraId="2250FD23" w14:textId="77777777" w:rsidR="00C96401" w:rsidRDefault="00C96401" w:rsidP="00C96401">
      <w:pPr>
        <w:spacing w:after="0" w:line="240" w:lineRule="auto"/>
        <w:ind w:left="-283"/>
        <w:jc w:val="right"/>
        <w:rPr>
          <w:rFonts w:cs="Arial"/>
          <w:i/>
          <w:sz w:val="20"/>
          <w:szCs w:val="20"/>
        </w:rPr>
      </w:pPr>
      <w:r w:rsidRPr="00AE55BD">
        <w:rPr>
          <w:rFonts w:cs="Arial"/>
          <w:i/>
          <w:iCs/>
          <w:sz w:val="20"/>
          <w:szCs w:val="20"/>
          <w:lang w:val="en-US"/>
        </w:rPr>
        <w:t>Office of His Majesty the King</w:t>
      </w:r>
    </w:p>
    <w:p w14:paraId="180BE59C" w14:textId="77777777" w:rsidR="00C96401" w:rsidRPr="000B14F7" w:rsidRDefault="00C96401" w:rsidP="00C96401">
      <w:pPr>
        <w:spacing w:after="0" w:line="240" w:lineRule="auto"/>
        <w:ind w:left="-283"/>
        <w:jc w:val="right"/>
        <w:rPr>
          <w:rFonts w:cs="Arial"/>
          <w:i/>
          <w:sz w:val="20"/>
          <w:szCs w:val="20"/>
        </w:rPr>
      </w:pPr>
      <w:r w:rsidRPr="00AE55BD">
        <w:rPr>
          <w:rFonts w:cs="Arial"/>
          <w:i/>
          <w:iCs/>
          <w:sz w:val="20"/>
          <w:szCs w:val="20"/>
          <w:lang w:val="en-US"/>
        </w:rPr>
        <w:t>Royal Court, Riyadh</w:t>
      </w:r>
    </w:p>
    <w:p w14:paraId="1B744680" w14:textId="77777777" w:rsidR="00C96401" w:rsidRPr="000B14F7" w:rsidRDefault="00C96401" w:rsidP="00C96401">
      <w:pPr>
        <w:spacing w:after="0" w:line="240" w:lineRule="auto"/>
        <w:ind w:left="-283"/>
        <w:jc w:val="right"/>
        <w:rPr>
          <w:rFonts w:cs="Arial"/>
          <w:i/>
          <w:sz w:val="20"/>
          <w:szCs w:val="20"/>
        </w:rPr>
      </w:pPr>
      <w:proofErr w:type="spellStart"/>
      <w:r w:rsidRPr="00AE55BD">
        <w:rPr>
          <w:rFonts w:cs="Arial"/>
          <w:i/>
          <w:iCs/>
          <w:sz w:val="20"/>
          <w:szCs w:val="20"/>
          <w:lang w:val="en-US"/>
        </w:rPr>
        <w:t>Reino</w:t>
      </w:r>
      <w:proofErr w:type="spellEnd"/>
      <w:r w:rsidRPr="00AE55BD">
        <w:rPr>
          <w:rFonts w:cs="Arial"/>
          <w:i/>
          <w:iCs/>
          <w:sz w:val="20"/>
          <w:szCs w:val="20"/>
          <w:lang w:val="en-US"/>
        </w:rPr>
        <w:t xml:space="preserve"> de Arabia </w:t>
      </w:r>
      <w:proofErr w:type="spellStart"/>
      <w:r w:rsidRPr="00AE55BD">
        <w:rPr>
          <w:rFonts w:cs="Arial"/>
          <w:i/>
          <w:iCs/>
          <w:sz w:val="20"/>
          <w:szCs w:val="20"/>
          <w:lang w:val="en-US"/>
        </w:rPr>
        <w:t>Saudí</w:t>
      </w:r>
      <w:proofErr w:type="spellEnd"/>
    </w:p>
    <w:p w14:paraId="56C15226" w14:textId="77777777" w:rsidR="00C96401" w:rsidRPr="000B14F7" w:rsidRDefault="00C96401" w:rsidP="00C96401">
      <w:pPr>
        <w:spacing w:after="0" w:line="240" w:lineRule="auto"/>
        <w:ind w:left="-283"/>
        <w:jc w:val="right"/>
        <w:rPr>
          <w:rFonts w:cs="Arial"/>
          <w:i/>
          <w:sz w:val="20"/>
          <w:szCs w:val="20"/>
        </w:rPr>
      </w:pPr>
      <w:r w:rsidRPr="00AE55BD">
        <w:rPr>
          <w:rFonts w:cs="Arial"/>
          <w:i/>
          <w:iCs/>
          <w:sz w:val="20"/>
          <w:szCs w:val="20"/>
          <w:lang w:val="en-US"/>
        </w:rPr>
        <w:t>Fax: +961 11 403 3125</w:t>
      </w:r>
    </w:p>
    <w:p w14:paraId="517957BE" w14:textId="77777777" w:rsidR="00C96401" w:rsidRPr="0009123A" w:rsidRDefault="00C96401" w:rsidP="00C96401">
      <w:pPr>
        <w:spacing w:after="0" w:line="240" w:lineRule="auto"/>
        <w:ind w:left="-283"/>
        <w:jc w:val="right"/>
        <w:rPr>
          <w:rFonts w:ascii="Arial" w:hAnsi="Arial" w:cs="Arial"/>
          <w:b/>
          <w:sz w:val="20"/>
          <w:szCs w:val="20"/>
        </w:rPr>
      </w:pPr>
      <w:r w:rsidRPr="00AE55BD">
        <w:rPr>
          <w:rFonts w:cs="Arial"/>
          <w:i/>
          <w:iCs/>
          <w:sz w:val="20"/>
          <w:szCs w:val="20"/>
          <w:lang w:val="en-US"/>
        </w:rPr>
        <w:t>Twitter: @KingSalman</w:t>
      </w:r>
    </w:p>
    <w:p w14:paraId="30F56153" w14:textId="77777777" w:rsidR="007166F5" w:rsidRDefault="007166F5" w:rsidP="00C96401">
      <w:pPr>
        <w:spacing w:after="0" w:line="240" w:lineRule="auto"/>
        <w:ind w:left="-283"/>
        <w:rPr>
          <w:rFonts w:cs="Arial"/>
          <w:i/>
          <w:sz w:val="20"/>
          <w:szCs w:val="20"/>
        </w:rPr>
      </w:pPr>
    </w:p>
    <w:p w14:paraId="3727E8FE" w14:textId="6C523FB9" w:rsidR="00C96401" w:rsidRPr="00AE55BD" w:rsidRDefault="00C96401" w:rsidP="00C96401">
      <w:pPr>
        <w:spacing w:after="0" w:line="240" w:lineRule="auto"/>
        <w:ind w:left="-283"/>
        <w:rPr>
          <w:rFonts w:cs="Arial"/>
          <w:i/>
          <w:sz w:val="20"/>
          <w:szCs w:val="20"/>
          <w:lang w:val="es-ES"/>
        </w:rPr>
      </w:pPr>
      <w:r>
        <w:rPr>
          <w:rFonts w:cs="Arial"/>
          <w:i/>
          <w:iCs/>
          <w:sz w:val="20"/>
          <w:szCs w:val="20"/>
          <w:lang w:val="es"/>
        </w:rPr>
        <w:t>Majestad:</w:t>
      </w:r>
    </w:p>
    <w:p w14:paraId="54ECF2B1" w14:textId="77777777" w:rsidR="00C96401" w:rsidRPr="00AE55BD" w:rsidRDefault="00C96401" w:rsidP="00C96401">
      <w:pPr>
        <w:spacing w:after="0" w:line="240" w:lineRule="auto"/>
        <w:ind w:left="-283"/>
        <w:rPr>
          <w:rFonts w:cs="Arial"/>
          <w:i/>
          <w:sz w:val="20"/>
          <w:szCs w:val="20"/>
          <w:lang w:val="es-ES"/>
        </w:rPr>
      </w:pPr>
    </w:p>
    <w:p w14:paraId="7A3D454B" w14:textId="03B57006" w:rsidR="00C96401" w:rsidRPr="00AE55BD" w:rsidRDefault="00C96401" w:rsidP="00D02218">
      <w:pPr>
        <w:spacing w:after="0" w:line="240" w:lineRule="auto"/>
        <w:ind w:left="-283"/>
        <w:jc w:val="both"/>
        <w:rPr>
          <w:rFonts w:cs="Arial"/>
          <w:i/>
          <w:sz w:val="20"/>
          <w:szCs w:val="20"/>
          <w:lang w:val="es-ES"/>
        </w:rPr>
      </w:pPr>
      <w:r>
        <w:rPr>
          <w:rFonts w:cs="Arial"/>
          <w:i/>
          <w:iCs/>
          <w:sz w:val="20"/>
          <w:szCs w:val="20"/>
          <w:lang w:val="es"/>
        </w:rPr>
        <w:t xml:space="preserve">Me preocupa profundamente que </w:t>
      </w:r>
      <w:r w:rsidR="00AE55BD">
        <w:rPr>
          <w:rFonts w:cs="Arial"/>
          <w:i/>
          <w:iCs/>
          <w:sz w:val="20"/>
          <w:szCs w:val="20"/>
          <w:lang w:val="es"/>
        </w:rPr>
        <w:t>l</w:t>
      </w:r>
      <w:r>
        <w:rPr>
          <w:rFonts w:cs="Arial"/>
          <w:i/>
          <w:iCs/>
          <w:sz w:val="20"/>
          <w:szCs w:val="20"/>
          <w:lang w:val="es"/>
        </w:rPr>
        <w:t xml:space="preserve">os jóvenes </w:t>
      </w:r>
      <w:r>
        <w:rPr>
          <w:rFonts w:cs="Arial"/>
          <w:b/>
          <w:bCs/>
          <w:i/>
          <w:iCs/>
          <w:sz w:val="20"/>
          <w:szCs w:val="20"/>
          <w:lang w:val="es"/>
        </w:rPr>
        <w:t xml:space="preserve">Abdullah al </w:t>
      </w:r>
      <w:proofErr w:type="spellStart"/>
      <w:r>
        <w:rPr>
          <w:rFonts w:cs="Arial"/>
          <w:b/>
          <w:bCs/>
          <w:i/>
          <w:iCs/>
          <w:sz w:val="20"/>
          <w:szCs w:val="20"/>
          <w:lang w:val="es"/>
        </w:rPr>
        <w:t>Derazi</w:t>
      </w:r>
      <w:proofErr w:type="spellEnd"/>
      <w:r>
        <w:rPr>
          <w:rFonts w:cs="Arial"/>
          <w:i/>
          <w:iCs/>
          <w:sz w:val="20"/>
          <w:szCs w:val="20"/>
          <w:lang w:val="es"/>
        </w:rPr>
        <w:t xml:space="preserve"> y </w:t>
      </w:r>
      <w:proofErr w:type="spellStart"/>
      <w:r>
        <w:rPr>
          <w:rFonts w:cs="Arial"/>
          <w:b/>
          <w:bCs/>
          <w:i/>
          <w:iCs/>
          <w:sz w:val="20"/>
          <w:szCs w:val="20"/>
          <w:lang w:val="es"/>
        </w:rPr>
        <w:t>Jalal</w:t>
      </w:r>
      <w:proofErr w:type="spellEnd"/>
      <w:r>
        <w:rPr>
          <w:rFonts w:cs="Arial"/>
          <w:b/>
          <w:bCs/>
          <w:i/>
          <w:iCs/>
          <w:sz w:val="20"/>
          <w:szCs w:val="20"/>
          <w:lang w:val="es"/>
        </w:rPr>
        <w:t xml:space="preserve"> </w:t>
      </w:r>
      <w:proofErr w:type="spellStart"/>
      <w:r>
        <w:rPr>
          <w:rFonts w:cs="Arial"/>
          <w:b/>
          <w:bCs/>
          <w:i/>
          <w:iCs/>
          <w:sz w:val="20"/>
          <w:szCs w:val="20"/>
          <w:lang w:val="es"/>
        </w:rPr>
        <w:t>Labbad</w:t>
      </w:r>
      <w:proofErr w:type="spellEnd"/>
      <w:r>
        <w:rPr>
          <w:rFonts w:cs="Arial"/>
          <w:i/>
          <w:iCs/>
          <w:sz w:val="20"/>
          <w:szCs w:val="20"/>
          <w:lang w:val="es"/>
        </w:rPr>
        <w:t xml:space="preserve"> corren peligro inminente de ejecución y que serán ejecutados si usted ratifica sus condenas a muerte. Los dos jóvenes eran menores de 18 años en el momento de sus presuntos delitos.</w:t>
      </w:r>
    </w:p>
    <w:p w14:paraId="06397AD5" w14:textId="77777777" w:rsidR="00947A41" w:rsidRPr="00AE55BD" w:rsidRDefault="00947A41" w:rsidP="00D02218">
      <w:pPr>
        <w:spacing w:after="0" w:line="240" w:lineRule="auto"/>
        <w:ind w:left="-283"/>
        <w:jc w:val="both"/>
        <w:rPr>
          <w:rFonts w:cs="Arial"/>
          <w:i/>
          <w:sz w:val="20"/>
          <w:szCs w:val="20"/>
          <w:lang w:val="es-ES"/>
        </w:rPr>
      </w:pPr>
    </w:p>
    <w:p w14:paraId="6BE74991" w14:textId="38A41AC8" w:rsidR="000B48FF" w:rsidRPr="00AE55BD" w:rsidRDefault="00947A41" w:rsidP="00203B7C">
      <w:pPr>
        <w:spacing w:after="0" w:line="240" w:lineRule="auto"/>
        <w:ind w:left="-283"/>
        <w:jc w:val="both"/>
        <w:rPr>
          <w:i/>
          <w:color w:val="262626"/>
          <w:sz w:val="20"/>
          <w:szCs w:val="20"/>
          <w:lang w:val="es-ES"/>
        </w:rPr>
      </w:pPr>
      <w:r>
        <w:rPr>
          <w:i/>
          <w:iCs/>
          <w:sz w:val="20"/>
          <w:szCs w:val="20"/>
          <w:lang w:val="es"/>
        </w:rPr>
        <w:t xml:space="preserve">Amnistía Internacional ha sabido recientemente que el Tribunal Supremo de Arabia Saudí confirmó en secreto las condenas a muerte de Abdullah al Derazi y Jalal Labbad después de que el Tribunal Penal Especializado los declarara culpables de cargos relacionados con el terrorismo </w:t>
      </w:r>
      <w:r>
        <w:rPr>
          <w:i/>
          <w:iCs/>
          <w:color w:val="262626"/>
          <w:sz w:val="20"/>
          <w:szCs w:val="20"/>
          <w:lang w:val="es"/>
        </w:rPr>
        <w:t>por su participación en protestas contra el trato que el gobierno dispensa a la minoría chií en el país. Ambos fueron declarados culpables en juicios manifiestamente injustos que carecieron de garantías procesales. No tuvieron acceso a representación letrada durante su detención preventiva y denunciaron ante el tribunal haber sido torturados para que “confesaran”</w:t>
      </w:r>
      <w:r>
        <w:rPr>
          <w:color w:val="262626"/>
          <w:sz w:val="20"/>
          <w:szCs w:val="20"/>
          <w:lang w:val="es"/>
        </w:rPr>
        <w:t>.</w:t>
      </w:r>
      <w:r>
        <w:rPr>
          <w:i/>
          <w:iCs/>
          <w:color w:val="262626"/>
          <w:sz w:val="20"/>
          <w:szCs w:val="20"/>
          <w:lang w:val="es"/>
        </w:rPr>
        <w:t xml:space="preserve"> El tribunal no investigó sus denuncias de tortura y otros malos tratos.</w:t>
      </w:r>
    </w:p>
    <w:p w14:paraId="377078B2" w14:textId="77777777" w:rsidR="000B48FF" w:rsidRPr="00AE55BD" w:rsidRDefault="000B48FF" w:rsidP="00203B7C">
      <w:pPr>
        <w:spacing w:after="0" w:line="240" w:lineRule="auto"/>
        <w:ind w:left="-283"/>
        <w:jc w:val="both"/>
        <w:rPr>
          <w:i/>
          <w:color w:val="262626"/>
          <w:sz w:val="20"/>
          <w:szCs w:val="20"/>
          <w:lang w:val="es-ES"/>
        </w:rPr>
      </w:pPr>
    </w:p>
    <w:p w14:paraId="29198D1D" w14:textId="55B63530" w:rsidR="0082127B" w:rsidRPr="00AE55BD" w:rsidRDefault="00DB1503" w:rsidP="00D02218">
      <w:pPr>
        <w:spacing w:after="0" w:line="240" w:lineRule="auto"/>
        <w:ind w:left="-283"/>
        <w:jc w:val="both"/>
        <w:rPr>
          <w:i/>
          <w:color w:val="262626"/>
          <w:sz w:val="20"/>
          <w:szCs w:val="20"/>
          <w:lang w:val="es-ES"/>
        </w:rPr>
      </w:pPr>
      <w:r>
        <w:rPr>
          <w:i/>
          <w:iCs/>
          <w:color w:val="262626"/>
          <w:sz w:val="20"/>
          <w:szCs w:val="20"/>
          <w:lang w:val="es"/>
        </w:rPr>
        <w:t xml:space="preserve">Al condenar a muerte a estos dos </w:t>
      </w:r>
      <w:r w:rsidR="00AE55BD">
        <w:rPr>
          <w:i/>
          <w:iCs/>
          <w:color w:val="262626"/>
          <w:sz w:val="20"/>
          <w:szCs w:val="20"/>
          <w:lang w:val="es"/>
        </w:rPr>
        <w:t>jóvenes</w:t>
      </w:r>
      <w:r>
        <w:rPr>
          <w:i/>
          <w:iCs/>
          <w:color w:val="262626"/>
          <w:sz w:val="20"/>
          <w:szCs w:val="20"/>
          <w:lang w:val="es"/>
        </w:rPr>
        <w:t>, las autoridades saudíes han incumplido su promesa de poner fin al uso de la pena de muerte por delitos cometidos por personas menores de 18 años.</w:t>
      </w:r>
    </w:p>
    <w:p w14:paraId="4FAD790D" w14:textId="77777777" w:rsidR="0082127B" w:rsidRPr="00AE55BD" w:rsidRDefault="0082127B" w:rsidP="00D02218">
      <w:pPr>
        <w:spacing w:after="0" w:line="240" w:lineRule="auto"/>
        <w:ind w:left="-283"/>
        <w:jc w:val="both"/>
        <w:rPr>
          <w:rFonts w:cs="Arial"/>
          <w:b/>
          <w:i/>
          <w:sz w:val="20"/>
          <w:szCs w:val="20"/>
          <w:lang w:val="es-ES"/>
        </w:rPr>
      </w:pPr>
    </w:p>
    <w:p w14:paraId="3660351E" w14:textId="24C94016" w:rsidR="00E008B8" w:rsidRPr="00AE55BD" w:rsidRDefault="00E008B8" w:rsidP="00203B7C">
      <w:pPr>
        <w:spacing w:after="0" w:line="240" w:lineRule="auto"/>
        <w:ind w:left="-283"/>
        <w:jc w:val="both"/>
        <w:rPr>
          <w:rFonts w:cstheme="minorBidi"/>
          <w:b/>
          <w:bCs/>
          <w:i/>
          <w:sz w:val="20"/>
          <w:szCs w:val="20"/>
          <w:lang w:val="es-ES"/>
        </w:rPr>
      </w:pPr>
      <w:r>
        <w:rPr>
          <w:rFonts w:cstheme="minorBidi"/>
          <w:b/>
          <w:bCs/>
          <w:i/>
          <w:iCs/>
          <w:sz w:val="20"/>
          <w:szCs w:val="20"/>
          <w:lang w:val="es"/>
        </w:rPr>
        <w:t xml:space="preserve">Lo insto a no ratificar las condenas a muerte de Abdullah al Derazi y Jalal Abbad, a pedir a las autoridades competentes que anulen sus sentencias condenatorias y a ordenar que sean sometidos a un nuevo juicio que sea justo y en el que no se recurra a la pena de muerte. Asimismo, lo insto a que ordene realizar con prontitud una investigación imparcial, independiente y efectiva sobre las denuncias de tortura y otros malos tratos de los procesados, </w:t>
      </w:r>
      <w:r>
        <w:rPr>
          <w:rFonts w:cstheme="minorBidi"/>
          <w:b/>
          <w:bCs/>
          <w:i/>
          <w:iCs/>
          <w:color w:val="262626"/>
          <w:sz w:val="20"/>
          <w:szCs w:val="20"/>
          <w:lang w:val="es"/>
        </w:rPr>
        <w:t xml:space="preserve">de los que hay constancia en la documentación judicial que ha estudiado Amnistía Internacional, que incluyen palizas brutales, violencia sexual y electrocución. </w:t>
      </w:r>
      <w:r>
        <w:rPr>
          <w:rFonts w:cstheme="minorBidi"/>
          <w:b/>
          <w:bCs/>
          <w:i/>
          <w:iCs/>
          <w:sz w:val="20"/>
          <w:szCs w:val="20"/>
          <w:lang w:val="es"/>
        </w:rPr>
        <w:t>Arabia Saudí debe establecer de inmediato una moratoria oficial de las ejecuciones con miras a abolir la pena de muerte en el país.</w:t>
      </w:r>
    </w:p>
    <w:p w14:paraId="5DEA422B" w14:textId="77777777" w:rsidR="002C4AB9" w:rsidRPr="00AE55BD" w:rsidRDefault="002C4AB9" w:rsidP="00203B7C">
      <w:pPr>
        <w:spacing w:after="0" w:line="240" w:lineRule="auto"/>
        <w:jc w:val="both"/>
        <w:rPr>
          <w:rFonts w:cs="Arial"/>
          <w:b/>
          <w:bCs/>
          <w:i/>
          <w:sz w:val="20"/>
          <w:szCs w:val="20"/>
          <w:lang w:val="es-ES"/>
        </w:rPr>
      </w:pPr>
    </w:p>
    <w:p w14:paraId="558F0928" w14:textId="77777777" w:rsidR="00E22024" w:rsidRDefault="00854BF9" w:rsidP="00980425">
      <w:pPr>
        <w:spacing w:line="240" w:lineRule="auto"/>
        <w:rPr>
          <w:rFonts w:cs="Arial"/>
          <w:i/>
          <w:iCs/>
          <w:sz w:val="20"/>
          <w:szCs w:val="20"/>
          <w:lang w:val="es"/>
        </w:rPr>
      </w:pPr>
      <w:r>
        <w:rPr>
          <w:rFonts w:cs="Arial"/>
          <w:i/>
          <w:iCs/>
          <w:sz w:val="20"/>
          <w:szCs w:val="20"/>
          <w:lang w:val="es"/>
        </w:rPr>
        <w:t>Atentamente,</w:t>
      </w:r>
      <w:r w:rsidR="00E22024">
        <w:rPr>
          <w:rFonts w:cs="Arial"/>
          <w:i/>
          <w:iCs/>
          <w:sz w:val="20"/>
          <w:szCs w:val="20"/>
          <w:lang w:val="es"/>
        </w:rPr>
        <w:t xml:space="preserve"> </w:t>
      </w:r>
    </w:p>
    <w:p w14:paraId="6F34B575" w14:textId="6E9B4410" w:rsidR="005D2C37" w:rsidRPr="00AE55BD" w:rsidRDefault="00854BF9" w:rsidP="00980425">
      <w:pPr>
        <w:spacing w:line="240" w:lineRule="auto"/>
        <w:rPr>
          <w:rFonts w:cs="Arial"/>
          <w:b/>
          <w:sz w:val="20"/>
          <w:szCs w:val="20"/>
          <w:lang w:val="es-ES"/>
        </w:rPr>
      </w:pPr>
      <w:r>
        <w:rPr>
          <w:rFonts w:cs="Arial"/>
          <w:i/>
          <w:iCs/>
          <w:sz w:val="20"/>
          <w:szCs w:val="20"/>
          <w:lang w:val="es"/>
        </w:rPr>
        <w:t>[NOMBRE]</w:t>
      </w:r>
    </w:p>
    <w:p w14:paraId="115BB598" w14:textId="2154390C" w:rsidR="005D2C37" w:rsidRPr="00AE55BD" w:rsidRDefault="0082127B" w:rsidP="00A75854">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76BEDBC" w14:textId="5A094CF8" w:rsidR="001D1812" w:rsidRPr="00AE55BD" w:rsidRDefault="00207485" w:rsidP="00E22024">
      <w:pPr>
        <w:pStyle w:val="NormalWeb"/>
        <w:spacing w:beforeLines="100" w:before="240" w:beforeAutospacing="0" w:afterLines="140" w:after="336" w:afterAutospacing="0"/>
        <w:jc w:val="both"/>
        <w:rPr>
          <w:rFonts w:ascii="Arial" w:hAnsi="Arial" w:cs="Arial"/>
          <w:sz w:val="18"/>
          <w:szCs w:val="18"/>
          <w:lang w:val="es-ES"/>
        </w:rPr>
      </w:pPr>
      <w:r>
        <w:rPr>
          <w:rFonts w:ascii="Arial" w:hAnsi="Arial" w:cs="Arial"/>
          <w:sz w:val="18"/>
          <w:szCs w:val="18"/>
          <w:lang w:val="es"/>
        </w:rPr>
        <w:t>Amnistía Internacional dispone de información fidedigna de que el Tribunal Supremo ha confirmado en secreto las condenas a muerte de Abdullah al Derazi y Jalal Labbad sin notificárselo a sus familiares ni a sus abogados. Dada la inexistencia de información transparente sobre los procesos judiciales en Arabia Saudí, sobre todo en los casos de pena de muerte, las familias sólo conocen la suerte de sus seres queridos a través de los medios de comunicación.</w:t>
      </w:r>
      <w:r>
        <w:rPr>
          <w:rFonts w:ascii="Arial" w:hAnsi="Arial" w:cs="Arial"/>
          <w:lang w:val="es"/>
        </w:rPr>
        <w:t xml:space="preserve"> </w:t>
      </w:r>
      <w:r>
        <w:rPr>
          <w:rFonts w:ascii="Arial" w:hAnsi="Arial" w:cs="Arial"/>
          <w:sz w:val="18"/>
          <w:szCs w:val="18"/>
          <w:lang w:val="es"/>
        </w:rPr>
        <w:t>El 16 de octubre de 2023, el relator especial de ONU sobre ejecuciones extrajudiciales, sumarias o arbitrarias expresó preocupación por la ejecución inminente de Abdullah al Derazi. Los dos jóvenes podrían ser ejecutados en cuanto el rey ratifique sus condenas a muerte.</w:t>
      </w:r>
    </w:p>
    <w:p w14:paraId="7466E351" w14:textId="6951CD19" w:rsidR="00EB2B03" w:rsidRPr="00AE55BD" w:rsidRDefault="00EB2B03" w:rsidP="00E22024">
      <w:pPr>
        <w:pStyle w:val="NormalWeb"/>
        <w:spacing w:beforeLines="100" w:before="240" w:beforeAutospacing="0" w:afterLines="140" w:after="336" w:afterAutospacing="0"/>
        <w:jc w:val="both"/>
        <w:rPr>
          <w:rFonts w:ascii="Arial" w:hAnsi="Arial" w:cs="Arial"/>
          <w:sz w:val="18"/>
          <w:szCs w:val="18"/>
          <w:lang w:val="es-ES"/>
        </w:rPr>
      </w:pPr>
      <w:r>
        <w:rPr>
          <w:rFonts w:ascii="Arial" w:hAnsi="Arial" w:cs="Arial"/>
          <w:sz w:val="18"/>
          <w:szCs w:val="18"/>
          <w:lang w:val="es"/>
        </w:rPr>
        <w:t>En mayo de 2023, la Comisión de Derechos Humanos de Arabia Saudí dijo en un carta a Amnistía Internacional que “se ha[bía] abolido completamente la aplicación de la pena de muerte a personas menores de edad por delitos punibles con un castigo facultativo de la ley islámica”. Según la ley islámica, no es preceptiva la pena de muerte para estos delitos, de los que han sido declarados culpables ambos jóvenes. La Convención sobre los Derechos del Niño, que ha ratificado Arabia Saudí, prohíbe estrictamente el uso de la pena de muerte contra personas menores de 18 años en el momento del delito.</w:t>
      </w:r>
    </w:p>
    <w:p w14:paraId="32E9B478" w14:textId="6B5F1A5F" w:rsidR="00A16AA7" w:rsidRPr="00AE55BD" w:rsidRDefault="006C7C58" w:rsidP="00E22024">
      <w:pPr>
        <w:pStyle w:val="NormalWeb"/>
        <w:spacing w:beforeLines="100" w:before="240" w:beforeAutospacing="0" w:afterLines="140" w:after="336" w:afterAutospacing="0"/>
        <w:jc w:val="both"/>
        <w:rPr>
          <w:rFonts w:ascii="Arial" w:eastAsia="Times New Roman" w:hAnsi="Arial" w:cs="Arial"/>
          <w:sz w:val="18"/>
          <w:szCs w:val="18"/>
          <w:lang w:val="es-ES"/>
        </w:rPr>
      </w:pPr>
      <w:r>
        <w:rPr>
          <w:rFonts w:ascii="Arial" w:hAnsi="Arial" w:cs="Arial"/>
          <w:sz w:val="18"/>
          <w:szCs w:val="18"/>
          <w:lang w:val="es"/>
        </w:rPr>
        <w:t xml:space="preserve">Abdullah al </w:t>
      </w:r>
      <w:proofErr w:type="spellStart"/>
      <w:r>
        <w:rPr>
          <w:rFonts w:ascii="Arial" w:hAnsi="Arial" w:cs="Arial"/>
          <w:sz w:val="18"/>
          <w:szCs w:val="18"/>
          <w:lang w:val="es"/>
        </w:rPr>
        <w:t>Derazi</w:t>
      </w:r>
      <w:proofErr w:type="spellEnd"/>
      <w:r>
        <w:rPr>
          <w:rFonts w:ascii="Arial" w:hAnsi="Arial" w:cs="Arial"/>
          <w:sz w:val="18"/>
          <w:szCs w:val="18"/>
          <w:lang w:val="es"/>
        </w:rPr>
        <w:t xml:space="preserve"> tenía 17 años en el momento del delito. Fue arrestado el 27 de agosto de 2014 y condenado a muerte por el Tribunal Penal Especializado el 20 de febrero de 2018 por participar en “disturbios en Al Qatif, y corear consignas contra el Estado y sembrar el caos”, “participar en una red terrorista [...] con el propósito de perturbar la seguridad interna” y “atacar a agentes de seguridad con cócteles molotov”. Abdullah al Derazi contó al tribunal que había permanecido tres años recluido en espera de juicio y que durante ese periodo no tuvo acceso a asistencia letrada. Según la documentación procesal, a la que Amnistía Internacional ha tenido acceso, Abdullah al Derazi dijo al juez: “Solicito una evaluación médica independiente para demostrar las torturas a las que he sido sometido [...]. Los expedientes de la unidad de investigaciones hospitalarias de Dammam demuestran que sigo recibiendo tratamiento a consecuencia de los golpes que me propinaron en los oídos mientras me interrogaban.” El tribunal no investigó sus denuncias de tortura; en vez de ello, el 8 de agosto de 2022, un tribunal de apelación confirmó la pena de muerte dictada contra él.</w:t>
      </w:r>
    </w:p>
    <w:p w14:paraId="5D3BA282" w14:textId="33F8D1BD" w:rsidR="00B62E39" w:rsidRPr="00AE55BD" w:rsidRDefault="00D9353D" w:rsidP="00E22024">
      <w:pPr>
        <w:spacing w:beforeLines="100" w:before="240" w:afterLines="140" w:after="336"/>
        <w:jc w:val="both"/>
        <w:rPr>
          <w:rFonts w:ascii="Arial" w:hAnsi="Arial" w:cs="Arial"/>
          <w:color w:val="auto"/>
          <w:szCs w:val="18"/>
          <w:lang w:val="es-ES"/>
        </w:rPr>
      </w:pPr>
      <w:proofErr w:type="spellStart"/>
      <w:r>
        <w:rPr>
          <w:rFonts w:ascii="Arial" w:hAnsi="Arial" w:cs="Arial"/>
          <w:color w:val="auto"/>
          <w:szCs w:val="18"/>
          <w:lang w:val="es"/>
        </w:rPr>
        <w:t>Jalal</w:t>
      </w:r>
      <w:proofErr w:type="spellEnd"/>
      <w:r>
        <w:rPr>
          <w:rFonts w:ascii="Arial" w:hAnsi="Arial" w:cs="Arial"/>
          <w:color w:val="auto"/>
          <w:szCs w:val="18"/>
          <w:lang w:val="es"/>
        </w:rPr>
        <w:t xml:space="preserve"> </w:t>
      </w:r>
      <w:proofErr w:type="spellStart"/>
      <w:r>
        <w:rPr>
          <w:rFonts w:ascii="Arial" w:hAnsi="Arial" w:cs="Arial"/>
          <w:color w:val="auto"/>
          <w:szCs w:val="18"/>
          <w:lang w:val="es"/>
        </w:rPr>
        <w:t>Labbad</w:t>
      </w:r>
      <w:proofErr w:type="spellEnd"/>
      <w:r>
        <w:rPr>
          <w:rFonts w:ascii="Arial" w:hAnsi="Arial" w:cs="Arial"/>
          <w:color w:val="auto"/>
          <w:szCs w:val="18"/>
          <w:lang w:val="es"/>
        </w:rPr>
        <w:t xml:space="preserve"> tenía entre 15 y 17 años en el momento del delito. Fue arrestado el 23 de febrero de 2019 y condenado a muerte por el Tribunal Penal Especializado el 31 de julio de 2022 por “participar en protestas y disturbios, rebelarse contra el orden público, y corear consignas injuriosas y que incitan contra los gobernantes durante los funerales de personas muertas a manos de las fuerzas de seguridad” y por “participar en una red terrorista con el propósito de corromper el Estado mediante: el secuestro y el asesinato de un juez; disparos contra agentes de seguridad […] y ataques a agentes de seguridad con cócteles molotov”.</w:t>
      </w:r>
      <w:r>
        <w:rPr>
          <w:rFonts w:ascii="Arial" w:hAnsi="Arial" w:cs="Arial"/>
          <w:i/>
          <w:iCs/>
          <w:color w:val="auto"/>
          <w:szCs w:val="18"/>
          <w:lang w:val="es"/>
        </w:rPr>
        <w:t xml:space="preserve"> </w:t>
      </w:r>
      <w:r>
        <w:rPr>
          <w:rFonts w:ascii="Arial" w:hAnsi="Arial" w:cs="Arial"/>
          <w:color w:val="auto"/>
          <w:szCs w:val="18"/>
          <w:lang w:val="es"/>
        </w:rPr>
        <w:t>Según la documentación judicial revisada por Amnistía Internacional, Jalal Labbad contó al tribunal que había permanecido casi tres años recluido en espera de juicio y que había sido sometido a tortura física y psicológica, que incluyó “reclusión en régimen de aislamiento durante nueve meses y medio en una celda pequeña y angosta”, “fuertes palizas” y “descargas eléctricas en todo el cuerpo, sobre todo en los genitales”. Jalal Labbad dijo al tribunal que se le había negado reiteradamente tratamiento médico. El 4 de octubre de 2022, un tribunal de apelación confirmó la condena impuesta contra él.</w:t>
      </w:r>
    </w:p>
    <w:p w14:paraId="60B0C279" w14:textId="55564BBF" w:rsidR="00D23D90" w:rsidRPr="00AE55BD" w:rsidRDefault="00E315B8" w:rsidP="00E22024">
      <w:pPr>
        <w:pStyle w:val="NormalWeb"/>
        <w:spacing w:beforeLines="100" w:before="240" w:beforeAutospacing="0" w:afterLines="140" w:after="336" w:afterAutospacing="0"/>
        <w:jc w:val="both"/>
        <w:rPr>
          <w:rFonts w:ascii="Arial" w:hAnsi="Arial" w:cs="Arial"/>
          <w:sz w:val="18"/>
          <w:szCs w:val="18"/>
          <w:lang w:val="es-ES"/>
        </w:rPr>
      </w:pPr>
      <w:r>
        <w:rPr>
          <w:rFonts w:ascii="Arial" w:hAnsi="Arial" w:cs="Arial"/>
          <w:sz w:val="18"/>
          <w:szCs w:val="18"/>
          <w:lang w:val="es"/>
        </w:rPr>
        <w:t>Arabia Saudí es uno de los principales verdugos del mundo. Entre enero y octubre de 2023, las autoridades saudíes han ejecutado ya a 112 personas. En 2022, el reino de Arabia Saudí ejecutó a 196 personas, la cifra anual de ejecuciones más elevada registrada por Amnistía Internacional en el país en los últimos 30 años.</w:t>
      </w:r>
    </w:p>
    <w:p w14:paraId="3B1D71D4" w14:textId="73A49EF7" w:rsidR="00D23D90" w:rsidRPr="00AE55BD" w:rsidRDefault="00D23D90" w:rsidP="00980425">
      <w:pPr>
        <w:spacing w:line="240" w:lineRule="auto"/>
        <w:rPr>
          <w:rFonts w:ascii="Arial" w:hAnsi="Arial" w:cs="Arial"/>
          <w:szCs w:val="20"/>
          <w:lang w:val="es-ES"/>
        </w:rPr>
      </w:pPr>
    </w:p>
    <w:p w14:paraId="44F78A38" w14:textId="5BECE2E1" w:rsidR="005D2C37" w:rsidRPr="00AE55BD"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o árabe</w:t>
      </w:r>
    </w:p>
    <w:p w14:paraId="677E723D" w14:textId="77777777" w:rsidR="005D2C37" w:rsidRPr="00AE55B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AE55BD" w:rsidRDefault="005D2C37" w:rsidP="00980425">
      <w:pPr>
        <w:spacing w:after="0" w:line="240" w:lineRule="auto"/>
        <w:rPr>
          <w:rFonts w:ascii="Arial" w:hAnsi="Arial" w:cs="Arial"/>
          <w:color w:val="0070C0"/>
          <w:sz w:val="20"/>
          <w:szCs w:val="20"/>
          <w:lang w:val="es-ES"/>
        </w:rPr>
      </w:pPr>
    </w:p>
    <w:p w14:paraId="636B746D" w14:textId="31DA9C90" w:rsidR="005D2C37" w:rsidRPr="00AE55BD"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25 de diciembre de 2023</w:t>
      </w:r>
    </w:p>
    <w:p w14:paraId="2C5E5589" w14:textId="77777777" w:rsidR="005D2C37" w:rsidRPr="00AE55BD"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AE55BD" w:rsidRDefault="005D2C37" w:rsidP="00980425">
      <w:pPr>
        <w:spacing w:after="0" w:line="240" w:lineRule="auto"/>
        <w:rPr>
          <w:rFonts w:ascii="Arial" w:hAnsi="Arial" w:cs="Arial"/>
          <w:b/>
          <w:sz w:val="20"/>
          <w:szCs w:val="20"/>
          <w:lang w:val="es-ES"/>
        </w:rPr>
      </w:pPr>
    </w:p>
    <w:p w14:paraId="0CD61DE1" w14:textId="7E7FF571" w:rsidR="00B92AEC" w:rsidRPr="00AE55BD" w:rsidRDefault="005D2C37" w:rsidP="00031DB2">
      <w:pPr>
        <w:spacing w:after="0" w:line="240" w:lineRule="auto"/>
        <w:rPr>
          <w:lang w:val="es-ES"/>
        </w:rPr>
      </w:pPr>
      <w:r>
        <w:rPr>
          <w:rFonts w:ascii="Arial" w:hAnsi="Arial"/>
          <w:b/>
          <w:bCs/>
          <w:sz w:val="20"/>
          <w:szCs w:val="20"/>
          <w:lang w:val="es"/>
        </w:rPr>
        <w:t xml:space="preserve">NOMBRE Y GÉNERO GRAMATICAL PREFERIDO: </w:t>
      </w:r>
      <w:r>
        <w:rPr>
          <w:rFonts w:asciiTheme="minorBidi" w:hAnsiTheme="minorBidi"/>
          <w:sz w:val="20"/>
          <w:szCs w:val="20"/>
          <w:lang w:val="es"/>
        </w:rPr>
        <w:t>Abdullah al Derazi (masculino); Jalal Labbad (masculino)</w:t>
      </w:r>
    </w:p>
    <w:sectPr w:rsidR="00B92AEC" w:rsidRPr="00AE55BD" w:rsidSect="00E22024">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1966" w14:textId="77777777" w:rsidR="00C06447" w:rsidRDefault="00C06447">
      <w:r>
        <w:separator/>
      </w:r>
    </w:p>
  </w:endnote>
  <w:endnote w:type="continuationSeparator" w:id="0">
    <w:p w14:paraId="056717B7" w14:textId="77777777" w:rsidR="00C06447" w:rsidRDefault="00C0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8B61" w14:textId="77777777" w:rsidR="00C06447" w:rsidRDefault="00C06447">
      <w:r>
        <w:separator/>
      </w:r>
    </w:p>
  </w:footnote>
  <w:footnote w:type="continuationSeparator" w:id="0">
    <w:p w14:paraId="69E69D2C" w14:textId="77777777" w:rsidR="00C06447" w:rsidRDefault="00C0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D442E49" w:rsidR="00355617" w:rsidRPr="00AE55BD" w:rsidRDefault="00A7640F" w:rsidP="0082127B">
    <w:pPr>
      <w:tabs>
        <w:tab w:val="left" w:pos="6060"/>
        <w:tab w:val="right" w:pos="10203"/>
      </w:tabs>
      <w:spacing w:after="0"/>
      <w:rPr>
        <w:sz w:val="16"/>
        <w:szCs w:val="16"/>
        <w:lang w:val="es-ES"/>
      </w:rPr>
    </w:pPr>
    <w:r>
      <w:rPr>
        <w:sz w:val="16"/>
        <w:szCs w:val="16"/>
        <w:lang w:val="es"/>
      </w:rPr>
      <w:t xml:space="preserve">Primera AU: 103/23 Índice: </w:t>
    </w:r>
    <w:r>
      <w:rPr>
        <w:color w:val="3B1D1E"/>
        <w:sz w:val="16"/>
        <w:szCs w:val="16"/>
        <w:lang w:val="es"/>
      </w:rPr>
      <w:t>MDE 23/7363/2023</w:t>
    </w:r>
    <w:r>
      <w:rPr>
        <w:sz w:val="16"/>
        <w:szCs w:val="16"/>
        <w:lang w:val="es"/>
      </w:rPr>
      <w:t xml:space="preserve"> Arabia Saudí</w:t>
    </w:r>
    <w:r>
      <w:rPr>
        <w:sz w:val="16"/>
        <w:szCs w:val="16"/>
        <w:lang w:val="es"/>
      </w:rPr>
      <w:tab/>
    </w:r>
    <w:r>
      <w:rPr>
        <w:sz w:val="16"/>
        <w:szCs w:val="16"/>
        <w:lang w:val="es"/>
      </w:rPr>
      <w:tab/>
      <w:t>Fecha: 30 de octubre de 2023</w:t>
    </w:r>
  </w:p>
  <w:p w14:paraId="76F9B49C" w14:textId="77777777" w:rsidR="007A3AEA" w:rsidRPr="00AE55B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721382">
    <w:abstractNumId w:val="0"/>
  </w:num>
  <w:num w:numId="2" w16cid:durableId="1002319410">
    <w:abstractNumId w:val="20"/>
  </w:num>
  <w:num w:numId="3" w16cid:durableId="1656494190">
    <w:abstractNumId w:val="19"/>
  </w:num>
  <w:num w:numId="4" w16cid:durableId="1646159763">
    <w:abstractNumId w:val="9"/>
  </w:num>
  <w:num w:numId="5" w16cid:durableId="999234577">
    <w:abstractNumId w:val="3"/>
  </w:num>
  <w:num w:numId="6" w16cid:durableId="359933336">
    <w:abstractNumId w:val="18"/>
  </w:num>
  <w:num w:numId="7" w16cid:durableId="458497793">
    <w:abstractNumId w:val="16"/>
  </w:num>
  <w:num w:numId="8" w16cid:durableId="882716169">
    <w:abstractNumId w:val="8"/>
  </w:num>
  <w:num w:numId="9" w16cid:durableId="658270155">
    <w:abstractNumId w:val="7"/>
  </w:num>
  <w:num w:numId="10" w16cid:durableId="1525753219">
    <w:abstractNumId w:val="12"/>
  </w:num>
  <w:num w:numId="11" w16cid:durableId="2068645343">
    <w:abstractNumId w:val="5"/>
  </w:num>
  <w:num w:numId="12" w16cid:durableId="198471287">
    <w:abstractNumId w:val="13"/>
  </w:num>
  <w:num w:numId="13" w16cid:durableId="17701530">
    <w:abstractNumId w:val="14"/>
  </w:num>
  <w:num w:numId="14" w16cid:durableId="1989743520">
    <w:abstractNumId w:val="1"/>
  </w:num>
  <w:num w:numId="15" w16cid:durableId="871574627">
    <w:abstractNumId w:val="17"/>
  </w:num>
  <w:num w:numId="16" w16cid:durableId="563680860">
    <w:abstractNumId w:val="10"/>
  </w:num>
  <w:num w:numId="17" w16cid:durableId="2106803169">
    <w:abstractNumId w:val="11"/>
  </w:num>
  <w:num w:numId="18" w16cid:durableId="1724791038">
    <w:abstractNumId w:val="4"/>
  </w:num>
  <w:num w:numId="19" w16cid:durableId="1600678995">
    <w:abstractNumId w:val="6"/>
  </w:num>
  <w:num w:numId="20" w16cid:durableId="809639640">
    <w:abstractNumId w:val="15"/>
  </w:num>
  <w:num w:numId="21" w16cid:durableId="711273816">
    <w:abstractNumId w:val="2"/>
  </w:num>
  <w:num w:numId="22" w16cid:durableId="63487021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2BE"/>
    <w:rsid w:val="0002386F"/>
    <w:rsid w:val="000316DB"/>
    <w:rsid w:val="00031DB2"/>
    <w:rsid w:val="00037601"/>
    <w:rsid w:val="00056D96"/>
    <w:rsid w:val="00057A7E"/>
    <w:rsid w:val="00076037"/>
    <w:rsid w:val="00083462"/>
    <w:rsid w:val="00086AEF"/>
    <w:rsid w:val="00087E2B"/>
    <w:rsid w:val="0009130D"/>
    <w:rsid w:val="00092D1D"/>
    <w:rsid w:val="00092DFA"/>
    <w:rsid w:val="000957C5"/>
    <w:rsid w:val="000A1F14"/>
    <w:rsid w:val="000B02B4"/>
    <w:rsid w:val="000B48FF"/>
    <w:rsid w:val="000B4A38"/>
    <w:rsid w:val="000C0C39"/>
    <w:rsid w:val="000C2A0D"/>
    <w:rsid w:val="000C6196"/>
    <w:rsid w:val="000D0ABB"/>
    <w:rsid w:val="000D0D18"/>
    <w:rsid w:val="000D0D2B"/>
    <w:rsid w:val="000D70C1"/>
    <w:rsid w:val="000E0D61"/>
    <w:rsid w:val="000E2E45"/>
    <w:rsid w:val="000E57D4"/>
    <w:rsid w:val="000F3012"/>
    <w:rsid w:val="000F3559"/>
    <w:rsid w:val="00100FE4"/>
    <w:rsid w:val="0010425E"/>
    <w:rsid w:val="00106837"/>
    <w:rsid w:val="00106D61"/>
    <w:rsid w:val="00107F08"/>
    <w:rsid w:val="00110B1F"/>
    <w:rsid w:val="00114556"/>
    <w:rsid w:val="001215D1"/>
    <w:rsid w:val="0012544D"/>
    <w:rsid w:val="001300C3"/>
    <w:rsid w:val="00130B8A"/>
    <w:rsid w:val="0014617E"/>
    <w:rsid w:val="00147AFE"/>
    <w:rsid w:val="001526C3"/>
    <w:rsid w:val="001561F4"/>
    <w:rsid w:val="0016118D"/>
    <w:rsid w:val="001648DB"/>
    <w:rsid w:val="00174398"/>
    <w:rsid w:val="00175AE4"/>
    <w:rsid w:val="00176678"/>
    <w:rsid w:val="001773D1"/>
    <w:rsid w:val="00177779"/>
    <w:rsid w:val="00182B3A"/>
    <w:rsid w:val="00187EB4"/>
    <w:rsid w:val="0019118D"/>
    <w:rsid w:val="00194CD5"/>
    <w:rsid w:val="001A635D"/>
    <w:rsid w:val="001A6AC9"/>
    <w:rsid w:val="001D1812"/>
    <w:rsid w:val="001D52A5"/>
    <w:rsid w:val="001E2045"/>
    <w:rsid w:val="001E3103"/>
    <w:rsid w:val="00201189"/>
    <w:rsid w:val="002036C0"/>
    <w:rsid w:val="00203B7C"/>
    <w:rsid w:val="00207485"/>
    <w:rsid w:val="00215C3E"/>
    <w:rsid w:val="00215E33"/>
    <w:rsid w:val="00216492"/>
    <w:rsid w:val="00225A11"/>
    <w:rsid w:val="00247F9C"/>
    <w:rsid w:val="002558D7"/>
    <w:rsid w:val="0025792F"/>
    <w:rsid w:val="00261CC7"/>
    <w:rsid w:val="002665C3"/>
    <w:rsid w:val="00267383"/>
    <w:rsid w:val="002703E7"/>
    <w:rsid w:val="002709C3"/>
    <w:rsid w:val="002739C9"/>
    <w:rsid w:val="00273E9A"/>
    <w:rsid w:val="00285A85"/>
    <w:rsid w:val="00286B43"/>
    <w:rsid w:val="00292804"/>
    <w:rsid w:val="002A2F36"/>
    <w:rsid w:val="002A5F44"/>
    <w:rsid w:val="002B2E9B"/>
    <w:rsid w:val="002C06A6"/>
    <w:rsid w:val="002C4AB9"/>
    <w:rsid w:val="002C5FE4"/>
    <w:rsid w:val="002C7F1F"/>
    <w:rsid w:val="002D48CD"/>
    <w:rsid w:val="002D5454"/>
    <w:rsid w:val="002E3658"/>
    <w:rsid w:val="002F3C80"/>
    <w:rsid w:val="00303616"/>
    <w:rsid w:val="0031230A"/>
    <w:rsid w:val="00313E8B"/>
    <w:rsid w:val="00320461"/>
    <w:rsid w:val="0033624A"/>
    <w:rsid w:val="003373A5"/>
    <w:rsid w:val="00337826"/>
    <w:rsid w:val="0034128A"/>
    <w:rsid w:val="0034324D"/>
    <w:rsid w:val="00346325"/>
    <w:rsid w:val="0035329F"/>
    <w:rsid w:val="00355617"/>
    <w:rsid w:val="00376EF4"/>
    <w:rsid w:val="00381C4B"/>
    <w:rsid w:val="003904F0"/>
    <w:rsid w:val="00392D2F"/>
    <w:rsid w:val="003975C9"/>
    <w:rsid w:val="003B294A"/>
    <w:rsid w:val="003C3210"/>
    <w:rsid w:val="003C5EEA"/>
    <w:rsid w:val="003C7CB6"/>
    <w:rsid w:val="003F3D5D"/>
    <w:rsid w:val="0042210F"/>
    <w:rsid w:val="004334BF"/>
    <w:rsid w:val="004408A1"/>
    <w:rsid w:val="00442E5B"/>
    <w:rsid w:val="0044379B"/>
    <w:rsid w:val="00445D50"/>
    <w:rsid w:val="00452303"/>
    <w:rsid w:val="00453538"/>
    <w:rsid w:val="004550D7"/>
    <w:rsid w:val="00457DB9"/>
    <w:rsid w:val="004603A2"/>
    <w:rsid w:val="00461B90"/>
    <w:rsid w:val="004634BF"/>
    <w:rsid w:val="00486088"/>
    <w:rsid w:val="00492FA8"/>
    <w:rsid w:val="00494B38"/>
    <w:rsid w:val="004A1BDD"/>
    <w:rsid w:val="004B1E15"/>
    <w:rsid w:val="004B2367"/>
    <w:rsid w:val="004B381D"/>
    <w:rsid w:val="004C1594"/>
    <w:rsid w:val="004C265C"/>
    <w:rsid w:val="004C71F5"/>
    <w:rsid w:val="004D41DC"/>
    <w:rsid w:val="004F0B92"/>
    <w:rsid w:val="004F145E"/>
    <w:rsid w:val="00504FBC"/>
    <w:rsid w:val="005063FC"/>
    <w:rsid w:val="005131DC"/>
    <w:rsid w:val="005145DA"/>
    <w:rsid w:val="00517E88"/>
    <w:rsid w:val="005363CA"/>
    <w:rsid w:val="00541387"/>
    <w:rsid w:val="00542F58"/>
    <w:rsid w:val="00545423"/>
    <w:rsid w:val="00547E71"/>
    <w:rsid w:val="0055577B"/>
    <w:rsid w:val="00565462"/>
    <w:rsid w:val="005668D0"/>
    <w:rsid w:val="00566BD5"/>
    <w:rsid w:val="00570080"/>
    <w:rsid w:val="00572CCD"/>
    <w:rsid w:val="0057440A"/>
    <w:rsid w:val="00581A12"/>
    <w:rsid w:val="00592711"/>
    <w:rsid w:val="00592C3E"/>
    <w:rsid w:val="00596449"/>
    <w:rsid w:val="005A3E28"/>
    <w:rsid w:val="005A54C0"/>
    <w:rsid w:val="005A71AD"/>
    <w:rsid w:val="005A7F1B"/>
    <w:rsid w:val="005B227F"/>
    <w:rsid w:val="005B44F9"/>
    <w:rsid w:val="005B475C"/>
    <w:rsid w:val="005B4B55"/>
    <w:rsid w:val="005B59ED"/>
    <w:rsid w:val="005B5B78"/>
    <w:rsid w:val="005B5C5A"/>
    <w:rsid w:val="005C751F"/>
    <w:rsid w:val="005D14AA"/>
    <w:rsid w:val="005D2C37"/>
    <w:rsid w:val="005D7287"/>
    <w:rsid w:val="005D7D1C"/>
    <w:rsid w:val="005F0355"/>
    <w:rsid w:val="005F2836"/>
    <w:rsid w:val="005F5E43"/>
    <w:rsid w:val="00603F73"/>
    <w:rsid w:val="00606108"/>
    <w:rsid w:val="006109C7"/>
    <w:rsid w:val="006201FC"/>
    <w:rsid w:val="00620ADD"/>
    <w:rsid w:val="006319AC"/>
    <w:rsid w:val="006359AA"/>
    <w:rsid w:val="00640EF2"/>
    <w:rsid w:val="0064718C"/>
    <w:rsid w:val="006500C6"/>
    <w:rsid w:val="0065049B"/>
    <w:rsid w:val="00650D73"/>
    <w:rsid w:val="006558EE"/>
    <w:rsid w:val="0065721A"/>
    <w:rsid w:val="00657231"/>
    <w:rsid w:val="00664743"/>
    <w:rsid w:val="00664E6F"/>
    <w:rsid w:val="00667A1E"/>
    <w:rsid w:val="00667FBC"/>
    <w:rsid w:val="00672FEB"/>
    <w:rsid w:val="0069571A"/>
    <w:rsid w:val="006A0BB9"/>
    <w:rsid w:val="006A7E9A"/>
    <w:rsid w:val="006B12FA"/>
    <w:rsid w:val="006B461E"/>
    <w:rsid w:val="006C07F5"/>
    <w:rsid w:val="006C3C21"/>
    <w:rsid w:val="006C790E"/>
    <w:rsid w:val="006C7A31"/>
    <w:rsid w:val="006C7C58"/>
    <w:rsid w:val="006E0949"/>
    <w:rsid w:val="006F4C28"/>
    <w:rsid w:val="006F51F9"/>
    <w:rsid w:val="006F6878"/>
    <w:rsid w:val="00701A53"/>
    <w:rsid w:val="0070364E"/>
    <w:rsid w:val="00705FFF"/>
    <w:rsid w:val="00707ED6"/>
    <w:rsid w:val="007104E8"/>
    <w:rsid w:val="007156FC"/>
    <w:rsid w:val="007166F5"/>
    <w:rsid w:val="00716942"/>
    <w:rsid w:val="007173E9"/>
    <w:rsid w:val="007231E4"/>
    <w:rsid w:val="00725E88"/>
    <w:rsid w:val="00727519"/>
    <w:rsid w:val="00727CA7"/>
    <w:rsid w:val="0073431C"/>
    <w:rsid w:val="007547A9"/>
    <w:rsid w:val="007656E7"/>
    <w:rsid w:val="007666A4"/>
    <w:rsid w:val="00773365"/>
    <w:rsid w:val="00781624"/>
    <w:rsid w:val="00781E3C"/>
    <w:rsid w:val="007858BA"/>
    <w:rsid w:val="00786388"/>
    <w:rsid w:val="007867D9"/>
    <w:rsid w:val="007A2ABA"/>
    <w:rsid w:val="007A3AEA"/>
    <w:rsid w:val="007A7F97"/>
    <w:rsid w:val="007B4F3E"/>
    <w:rsid w:val="007B7197"/>
    <w:rsid w:val="007C6CD0"/>
    <w:rsid w:val="007E7A66"/>
    <w:rsid w:val="007F72FF"/>
    <w:rsid w:val="007F7B5E"/>
    <w:rsid w:val="008056E9"/>
    <w:rsid w:val="0081049F"/>
    <w:rsid w:val="00814387"/>
    <w:rsid w:val="00814632"/>
    <w:rsid w:val="0082127B"/>
    <w:rsid w:val="00827A40"/>
    <w:rsid w:val="00830CFE"/>
    <w:rsid w:val="00844F48"/>
    <w:rsid w:val="008455C2"/>
    <w:rsid w:val="00846E45"/>
    <w:rsid w:val="00854BF9"/>
    <w:rsid w:val="00864035"/>
    <w:rsid w:val="00866873"/>
    <w:rsid w:val="00867C40"/>
    <w:rsid w:val="008763F4"/>
    <w:rsid w:val="00877247"/>
    <w:rsid w:val="008849EA"/>
    <w:rsid w:val="0088786A"/>
    <w:rsid w:val="00891FE8"/>
    <w:rsid w:val="00895DF5"/>
    <w:rsid w:val="008B2498"/>
    <w:rsid w:val="008C5B5A"/>
    <w:rsid w:val="008D16ED"/>
    <w:rsid w:val="008D2A6B"/>
    <w:rsid w:val="008D49A5"/>
    <w:rsid w:val="008D741C"/>
    <w:rsid w:val="008E0B66"/>
    <w:rsid w:val="008E172D"/>
    <w:rsid w:val="00902730"/>
    <w:rsid w:val="00906C9F"/>
    <w:rsid w:val="009112E4"/>
    <w:rsid w:val="0091455D"/>
    <w:rsid w:val="00921577"/>
    <w:rsid w:val="00923DA4"/>
    <w:rsid w:val="009259E1"/>
    <w:rsid w:val="00933B99"/>
    <w:rsid w:val="00937A38"/>
    <w:rsid w:val="00947A41"/>
    <w:rsid w:val="0095047E"/>
    <w:rsid w:val="0095188F"/>
    <w:rsid w:val="00953F35"/>
    <w:rsid w:val="009550A0"/>
    <w:rsid w:val="00960C64"/>
    <w:rsid w:val="00963D4F"/>
    <w:rsid w:val="00964140"/>
    <w:rsid w:val="00964E99"/>
    <w:rsid w:val="0097218E"/>
    <w:rsid w:val="00977DA6"/>
    <w:rsid w:val="00980425"/>
    <w:rsid w:val="009906A6"/>
    <w:rsid w:val="00991C69"/>
    <w:rsid w:val="009923C0"/>
    <w:rsid w:val="009B78FE"/>
    <w:rsid w:val="009C3521"/>
    <w:rsid w:val="009C4461"/>
    <w:rsid w:val="009C6B5A"/>
    <w:rsid w:val="009D6569"/>
    <w:rsid w:val="009E097D"/>
    <w:rsid w:val="009E7E6E"/>
    <w:rsid w:val="00A010A0"/>
    <w:rsid w:val="00A07E67"/>
    <w:rsid w:val="00A16AA7"/>
    <w:rsid w:val="00A20066"/>
    <w:rsid w:val="00A226DB"/>
    <w:rsid w:val="00A31F72"/>
    <w:rsid w:val="00A41FC6"/>
    <w:rsid w:val="00A44B1B"/>
    <w:rsid w:val="00A4583A"/>
    <w:rsid w:val="00A46433"/>
    <w:rsid w:val="00A66D67"/>
    <w:rsid w:val="00A70D9D"/>
    <w:rsid w:val="00A7548F"/>
    <w:rsid w:val="00A75854"/>
    <w:rsid w:val="00A7640F"/>
    <w:rsid w:val="00A81673"/>
    <w:rsid w:val="00A90EA6"/>
    <w:rsid w:val="00AA6CD6"/>
    <w:rsid w:val="00AB5744"/>
    <w:rsid w:val="00AB57BD"/>
    <w:rsid w:val="00AB5C6E"/>
    <w:rsid w:val="00AB7E5D"/>
    <w:rsid w:val="00AC15B7"/>
    <w:rsid w:val="00AC367F"/>
    <w:rsid w:val="00AE4214"/>
    <w:rsid w:val="00AE55BD"/>
    <w:rsid w:val="00AF0FCD"/>
    <w:rsid w:val="00AF1E96"/>
    <w:rsid w:val="00AF5FF0"/>
    <w:rsid w:val="00AF62D4"/>
    <w:rsid w:val="00B0456A"/>
    <w:rsid w:val="00B12549"/>
    <w:rsid w:val="00B20528"/>
    <w:rsid w:val="00B206A8"/>
    <w:rsid w:val="00B27341"/>
    <w:rsid w:val="00B34988"/>
    <w:rsid w:val="00B408D4"/>
    <w:rsid w:val="00B44ADE"/>
    <w:rsid w:val="00B52B01"/>
    <w:rsid w:val="00B53108"/>
    <w:rsid w:val="00B5381B"/>
    <w:rsid w:val="00B579D2"/>
    <w:rsid w:val="00B62E39"/>
    <w:rsid w:val="00B6690B"/>
    <w:rsid w:val="00B670D7"/>
    <w:rsid w:val="00B74FFC"/>
    <w:rsid w:val="00B7545C"/>
    <w:rsid w:val="00B806A2"/>
    <w:rsid w:val="00B92AEC"/>
    <w:rsid w:val="00B957E6"/>
    <w:rsid w:val="00B97626"/>
    <w:rsid w:val="00BA047E"/>
    <w:rsid w:val="00BA0E81"/>
    <w:rsid w:val="00BA56B2"/>
    <w:rsid w:val="00BA6913"/>
    <w:rsid w:val="00BB0B3B"/>
    <w:rsid w:val="00BC50C3"/>
    <w:rsid w:val="00BC7111"/>
    <w:rsid w:val="00BD0B43"/>
    <w:rsid w:val="00BE0D92"/>
    <w:rsid w:val="00BE4685"/>
    <w:rsid w:val="00BE4AA9"/>
    <w:rsid w:val="00BE6035"/>
    <w:rsid w:val="00BF081B"/>
    <w:rsid w:val="00BF4778"/>
    <w:rsid w:val="00BF7136"/>
    <w:rsid w:val="00C06447"/>
    <w:rsid w:val="00C109A8"/>
    <w:rsid w:val="00C13DB7"/>
    <w:rsid w:val="00C1439F"/>
    <w:rsid w:val="00C162AD"/>
    <w:rsid w:val="00C17D6F"/>
    <w:rsid w:val="00C24609"/>
    <w:rsid w:val="00C359CF"/>
    <w:rsid w:val="00C370BB"/>
    <w:rsid w:val="00C415B8"/>
    <w:rsid w:val="00C460DB"/>
    <w:rsid w:val="00C50CEC"/>
    <w:rsid w:val="00C538D1"/>
    <w:rsid w:val="00C546B3"/>
    <w:rsid w:val="00C607FB"/>
    <w:rsid w:val="00C62C4B"/>
    <w:rsid w:val="00C67E4A"/>
    <w:rsid w:val="00C74049"/>
    <w:rsid w:val="00C76EE0"/>
    <w:rsid w:val="00C8330C"/>
    <w:rsid w:val="00C85BFA"/>
    <w:rsid w:val="00C85EFE"/>
    <w:rsid w:val="00C934DE"/>
    <w:rsid w:val="00C93CB2"/>
    <w:rsid w:val="00C96401"/>
    <w:rsid w:val="00CA13A3"/>
    <w:rsid w:val="00CA51AF"/>
    <w:rsid w:val="00CA5CB1"/>
    <w:rsid w:val="00CC2724"/>
    <w:rsid w:val="00CC27E4"/>
    <w:rsid w:val="00CD2995"/>
    <w:rsid w:val="00CF7805"/>
    <w:rsid w:val="00D007F8"/>
    <w:rsid w:val="00D00F8E"/>
    <w:rsid w:val="00D02218"/>
    <w:rsid w:val="00D030C9"/>
    <w:rsid w:val="00D05A52"/>
    <w:rsid w:val="00D06356"/>
    <w:rsid w:val="00D0682E"/>
    <w:rsid w:val="00D114C6"/>
    <w:rsid w:val="00D142D0"/>
    <w:rsid w:val="00D23D90"/>
    <w:rsid w:val="00D26BF9"/>
    <w:rsid w:val="00D35879"/>
    <w:rsid w:val="00D47210"/>
    <w:rsid w:val="00D54217"/>
    <w:rsid w:val="00D54D40"/>
    <w:rsid w:val="00D62977"/>
    <w:rsid w:val="00D635A1"/>
    <w:rsid w:val="00D6411A"/>
    <w:rsid w:val="00D67ABF"/>
    <w:rsid w:val="00D73937"/>
    <w:rsid w:val="00D749E6"/>
    <w:rsid w:val="00D834E2"/>
    <w:rsid w:val="00D839E9"/>
    <w:rsid w:val="00D844EE"/>
    <w:rsid w:val="00D847F8"/>
    <w:rsid w:val="00D90465"/>
    <w:rsid w:val="00D9353D"/>
    <w:rsid w:val="00DB1503"/>
    <w:rsid w:val="00DB7D74"/>
    <w:rsid w:val="00DC65A4"/>
    <w:rsid w:val="00DD0724"/>
    <w:rsid w:val="00DD346F"/>
    <w:rsid w:val="00DF1141"/>
    <w:rsid w:val="00DF17DF"/>
    <w:rsid w:val="00DF3644"/>
    <w:rsid w:val="00DF3DF5"/>
    <w:rsid w:val="00DF63A6"/>
    <w:rsid w:val="00E008B8"/>
    <w:rsid w:val="00E04AF0"/>
    <w:rsid w:val="00E12FD3"/>
    <w:rsid w:val="00E22024"/>
    <w:rsid w:val="00E22AAE"/>
    <w:rsid w:val="00E30A76"/>
    <w:rsid w:val="00E315B8"/>
    <w:rsid w:val="00E37B98"/>
    <w:rsid w:val="00E406B4"/>
    <w:rsid w:val="00E40EAA"/>
    <w:rsid w:val="00E43F3A"/>
    <w:rsid w:val="00E45812"/>
    <w:rsid w:val="00E45B15"/>
    <w:rsid w:val="00E63CEF"/>
    <w:rsid w:val="00E65D5E"/>
    <w:rsid w:val="00E67C6B"/>
    <w:rsid w:val="00E707D9"/>
    <w:rsid w:val="00E72D35"/>
    <w:rsid w:val="00E7569C"/>
    <w:rsid w:val="00E76516"/>
    <w:rsid w:val="00E778FE"/>
    <w:rsid w:val="00E94F72"/>
    <w:rsid w:val="00EA1562"/>
    <w:rsid w:val="00EA68CE"/>
    <w:rsid w:val="00EB1C45"/>
    <w:rsid w:val="00EB2B03"/>
    <w:rsid w:val="00EB51EB"/>
    <w:rsid w:val="00EC677A"/>
    <w:rsid w:val="00EE00F8"/>
    <w:rsid w:val="00EE4B3A"/>
    <w:rsid w:val="00EE5D32"/>
    <w:rsid w:val="00EF284E"/>
    <w:rsid w:val="00F16E07"/>
    <w:rsid w:val="00F25445"/>
    <w:rsid w:val="00F322A8"/>
    <w:rsid w:val="00F3436F"/>
    <w:rsid w:val="00F4394F"/>
    <w:rsid w:val="00F45927"/>
    <w:rsid w:val="00F57E56"/>
    <w:rsid w:val="00F657EC"/>
    <w:rsid w:val="00F65D4B"/>
    <w:rsid w:val="00F71854"/>
    <w:rsid w:val="00F7577A"/>
    <w:rsid w:val="00F771BD"/>
    <w:rsid w:val="00F83EDB"/>
    <w:rsid w:val="00F91619"/>
    <w:rsid w:val="00F93094"/>
    <w:rsid w:val="00F9400E"/>
    <w:rsid w:val="00FA0961"/>
    <w:rsid w:val="00FA1C07"/>
    <w:rsid w:val="00FA253D"/>
    <w:rsid w:val="00FA48E3"/>
    <w:rsid w:val="00FA4E88"/>
    <w:rsid w:val="00FA7368"/>
    <w:rsid w:val="00FB06F1"/>
    <w:rsid w:val="00FB2CBD"/>
    <w:rsid w:val="00FB54DD"/>
    <w:rsid w:val="00FB6A97"/>
    <w:rsid w:val="00FB7E90"/>
    <w:rsid w:val="00FC01A6"/>
    <w:rsid w:val="00FD5C96"/>
    <w:rsid w:val="00FE094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C109A8"/>
    <w:rPr>
      <w:rFonts w:ascii="Amnesty Trade Gothic" w:hAnsi="Amnesty Trade Gothic"/>
      <w:color w:val="000000"/>
      <w:lang w:eastAsia="ar-SA"/>
    </w:rPr>
  </w:style>
  <w:style w:type="paragraph" w:styleId="Revisin">
    <w:name w:val="Revision"/>
    <w:hidden/>
    <w:uiPriority w:val="99"/>
    <w:semiHidden/>
    <w:rsid w:val="0087724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923">
      <w:bodyDiv w:val="1"/>
      <w:marLeft w:val="0"/>
      <w:marRight w:val="0"/>
      <w:marTop w:val="0"/>
      <w:marBottom w:val="0"/>
      <w:divBdr>
        <w:top w:val="none" w:sz="0" w:space="0" w:color="auto"/>
        <w:left w:val="none" w:sz="0" w:space="0" w:color="auto"/>
        <w:bottom w:val="none" w:sz="0" w:space="0" w:color="auto"/>
        <w:right w:val="none" w:sz="0" w:space="0" w:color="auto"/>
      </w:divBdr>
    </w:div>
    <w:div w:id="266163250">
      <w:bodyDiv w:val="1"/>
      <w:marLeft w:val="0"/>
      <w:marRight w:val="0"/>
      <w:marTop w:val="0"/>
      <w:marBottom w:val="0"/>
      <w:divBdr>
        <w:top w:val="none" w:sz="0" w:space="0" w:color="auto"/>
        <w:left w:val="none" w:sz="0" w:space="0" w:color="auto"/>
        <w:bottom w:val="none" w:sz="0" w:space="0" w:color="auto"/>
        <w:right w:val="none" w:sz="0" w:space="0" w:color="auto"/>
      </w:divBdr>
      <w:divsChild>
        <w:div w:id="432437841">
          <w:marLeft w:val="0"/>
          <w:marRight w:val="0"/>
          <w:marTop w:val="0"/>
          <w:marBottom w:val="0"/>
          <w:divBdr>
            <w:top w:val="none" w:sz="0" w:space="0" w:color="auto"/>
            <w:left w:val="none" w:sz="0" w:space="0" w:color="auto"/>
            <w:bottom w:val="none" w:sz="0" w:space="0" w:color="auto"/>
            <w:right w:val="none" w:sz="0" w:space="0" w:color="auto"/>
          </w:divBdr>
        </w:div>
        <w:div w:id="733504072">
          <w:marLeft w:val="0"/>
          <w:marRight w:val="0"/>
          <w:marTop w:val="0"/>
          <w:marBottom w:val="0"/>
          <w:divBdr>
            <w:top w:val="none" w:sz="0" w:space="0" w:color="auto"/>
            <w:left w:val="none" w:sz="0" w:space="0" w:color="auto"/>
            <w:bottom w:val="none" w:sz="0" w:space="0" w:color="auto"/>
            <w:right w:val="none" w:sz="0" w:space="0" w:color="auto"/>
          </w:divBdr>
        </w:div>
      </w:divsChild>
    </w:div>
    <w:div w:id="404571498">
      <w:bodyDiv w:val="1"/>
      <w:marLeft w:val="0"/>
      <w:marRight w:val="0"/>
      <w:marTop w:val="0"/>
      <w:marBottom w:val="0"/>
      <w:divBdr>
        <w:top w:val="none" w:sz="0" w:space="0" w:color="auto"/>
        <w:left w:val="none" w:sz="0" w:space="0" w:color="auto"/>
        <w:bottom w:val="none" w:sz="0" w:space="0" w:color="auto"/>
        <w:right w:val="none" w:sz="0" w:space="0" w:color="auto"/>
      </w:divBdr>
    </w:div>
    <w:div w:id="17921703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73114589">
      <w:bodyDiv w:val="1"/>
      <w:marLeft w:val="0"/>
      <w:marRight w:val="0"/>
      <w:marTop w:val="0"/>
      <w:marBottom w:val="0"/>
      <w:divBdr>
        <w:top w:val="none" w:sz="0" w:space="0" w:color="auto"/>
        <w:left w:val="none" w:sz="0" w:space="0" w:color="auto"/>
        <w:bottom w:val="none" w:sz="0" w:space="0" w:color="auto"/>
        <w:right w:val="none" w:sz="0" w:space="0" w:color="auto"/>
      </w:divBdr>
    </w:div>
    <w:div w:id="2123111117">
      <w:bodyDiv w:val="1"/>
      <w:marLeft w:val="0"/>
      <w:marRight w:val="0"/>
      <w:marTop w:val="0"/>
      <w:marBottom w:val="0"/>
      <w:divBdr>
        <w:top w:val="none" w:sz="0" w:space="0" w:color="auto"/>
        <w:left w:val="none" w:sz="0" w:space="0" w:color="auto"/>
        <w:bottom w:val="none" w:sz="0" w:space="0" w:color="auto"/>
        <w:right w:val="none" w:sz="0" w:space="0" w:color="auto"/>
      </w:divBdr>
      <w:divsChild>
        <w:div w:id="359087555">
          <w:marLeft w:val="0"/>
          <w:marRight w:val="0"/>
          <w:marTop w:val="0"/>
          <w:marBottom w:val="0"/>
          <w:divBdr>
            <w:top w:val="none" w:sz="0" w:space="0" w:color="auto"/>
            <w:left w:val="none" w:sz="0" w:space="0" w:color="auto"/>
            <w:bottom w:val="none" w:sz="0" w:space="0" w:color="auto"/>
            <w:right w:val="none" w:sz="0" w:space="0" w:color="auto"/>
          </w:divBdr>
        </w:div>
        <w:div w:id="2109806978">
          <w:marLeft w:val="0"/>
          <w:marRight w:val="0"/>
          <w:marTop w:val="0"/>
          <w:marBottom w:val="0"/>
          <w:divBdr>
            <w:top w:val="none" w:sz="0" w:space="0" w:color="auto"/>
            <w:left w:val="none" w:sz="0" w:space="0" w:color="auto"/>
            <w:bottom w:val="none" w:sz="0" w:space="0" w:color="auto"/>
            <w:right w:val="none" w:sz="0" w:space="0" w:color="auto"/>
          </w:divBdr>
        </w:div>
        <w:div w:id="60234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6293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2023-10-31T12:58:00Z</dcterms:created>
  <dcterms:modified xsi:type="dcterms:W3CDTF">2023-10-31T12:58:00Z</dcterms:modified>
</cp:coreProperties>
</file>