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3D9E00" w14:textId="3482FD67" w:rsidR="00B34956" w:rsidRPr="00CA1758" w:rsidRDefault="0034128A" w:rsidP="00B34956">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A6D7F24" w14:textId="6E4BD757" w:rsidR="00F12A37" w:rsidRPr="00CA1758" w:rsidRDefault="007B684C" w:rsidP="00A93A8E">
      <w:pPr>
        <w:spacing w:before="240" w:after="0"/>
        <w:ind w:left="-283"/>
        <w:rPr>
          <w:rFonts w:ascii="Arial" w:hAnsi="Arial" w:cs="Arial"/>
          <w:b/>
          <w:sz w:val="32"/>
          <w:lang w:val="es-ES"/>
        </w:rPr>
      </w:pPr>
      <w:r>
        <w:rPr>
          <w:rFonts w:ascii="Arial" w:hAnsi="Arial" w:cs="Arial"/>
          <w:b/>
          <w:bCs/>
          <w:sz w:val="32"/>
          <w:lang w:val="es"/>
        </w:rPr>
        <w:t>CONFIRMADA LA CONDENA A UN PERIODISTA TRAS SU APELACIÓN</w:t>
      </w:r>
    </w:p>
    <w:p w14:paraId="349A5F1D" w14:textId="60A0476A" w:rsidR="005D2FCB" w:rsidRPr="00CA1758" w:rsidRDefault="005D2FCB" w:rsidP="009028D1">
      <w:pPr>
        <w:spacing w:after="0"/>
        <w:ind w:left="-283"/>
        <w:jc w:val="both"/>
        <w:rPr>
          <w:rFonts w:ascii="Arial" w:hAnsi="Arial" w:cs="Arial"/>
          <w:b/>
          <w:sz w:val="19"/>
          <w:szCs w:val="19"/>
          <w:lang w:val="es-ES"/>
        </w:rPr>
      </w:pPr>
      <w:r>
        <w:rPr>
          <w:rFonts w:ascii="Arial" w:hAnsi="Arial" w:cs="Arial"/>
          <w:b/>
          <w:bCs/>
          <w:sz w:val="19"/>
          <w:szCs w:val="19"/>
          <w:lang w:val="es"/>
        </w:rPr>
        <w:t xml:space="preserve">El 12 de octubre de 2023, el Tribunal Supremo de Justicia de Argelia rechazó dos recursos de apelación presentados por la defensa letrada de </w:t>
      </w:r>
      <w:proofErr w:type="spellStart"/>
      <w:r>
        <w:rPr>
          <w:rFonts w:ascii="Arial" w:hAnsi="Arial" w:cs="Arial"/>
          <w:b/>
          <w:bCs/>
          <w:sz w:val="19"/>
          <w:szCs w:val="19"/>
          <w:lang w:val="es"/>
        </w:rPr>
        <w:t>Ihsane</w:t>
      </w:r>
      <w:proofErr w:type="spellEnd"/>
      <w:r>
        <w:rPr>
          <w:rFonts w:ascii="Arial" w:hAnsi="Arial" w:cs="Arial"/>
          <w:b/>
          <w:bCs/>
          <w:sz w:val="19"/>
          <w:szCs w:val="19"/>
          <w:lang w:val="es"/>
        </w:rPr>
        <w:t xml:space="preserve"> el </w:t>
      </w:r>
      <w:proofErr w:type="spellStart"/>
      <w:r>
        <w:rPr>
          <w:rFonts w:ascii="Arial" w:hAnsi="Arial" w:cs="Arial"/>
          <w:b/>
          <w:bCs/>
          <w:sz w:val="19"/>
          <w:szCs w:val="19"/>
          <w:lang w:val="es"/>
        </w:rPr>
        <w:t>Kadi</w:t>
      </w:r>
      <w:proofErr w:type="spellEnd"/>
      <w:r>
        <w:rPr>
          <w:rFonts w:ascii="Arial" w:hAnsi="Arial" w:cs="Arial"/>
          <w:b/>
          <w:bCs/>
          <w:sz w:val="19"/>
          <w:szCs w:val="19"/>
          <w:lang w:val="es"/>
        </w:rPr>
        <w:t xml:space="preserve">, confirmando así </w:t>
      </w:r>
      <w:bookmarkStart w:id="0" w:name="_Hlk152080541"/>
      <w:r>
        <w:rPr>
          <w:rFonts w:ascii="Arial" w:hAnsi="Arial" w:cs="Arial"/>
          <w:b/>
          <w:bCs/>
          <w:sz w:val="19"/>
          <w:szCs w:val="19"/>
          <w:lang w:val="es"/>
        </w:rPr>
        <w:t xml:space="preserve">la condena de siete años —cinco en prisión y dos </w:t>
      </w:r>
      <w:r w:rsidR="00CA1758">
        <w:rPr>
          <w:rFonts w:ascii="Arial" w:hAnsi="Arial" w:cs="Arial"/>
          <w:b/>
          <w:bCs/>
          <w:sz w:val="19"/>
          <w:szCs w:val="19"/>
          <w:lang w:val="es"/>
        </w:rPr>
        <w:t>con carácter</w:t>
      </w:r>
      <w:r>
        <w:rPr>
          <w:rFonts w:ascii="Arial" w:hAnsi="Arial" w:cs="Arial"/>
          <w:b/>
          <w:bCs/>
          <w:sz w:val="19"/>
          <w:szCs w:val="19"/>
          <w:lang w:val="es"/>
        </w:rPr>
        <w:t xml:space="preserve"> condicional—</w:t>
      </w:r>
      <w:bookmarkEnd w:id="0"/>
      <w:r>
        <w:rPr>
          <w:rFonts w:ascii="Arial" w:hAnsi="Arial" w:cs="Arial"/>
          <w:b/>
          <w:bCs/>
          <w:sz w:val="19"/>
          <w:szCs w:val="19"/>
          <w:lang w:val="es"/>
        </w:rPr>
        <w:t xml:space="preserve">. Encarcelado desde el 24 de diciembre de 2022, a </w:t>
      </w:r>
      <w:proofErr w:type="spellStart"/>
      <w:r>
        <w:rPr>
          <w:rFonts w:ascii="Arial" w:hAnsi="Arial" w:cs="Arial"/>
          <w:b/>
          <w:bCs/>
          <w:sz w:val="19"/>
          <w:szCs w:val="19"/>
          <w:lang w:val="es"/>
        </w:rPr>
        <w:t>Ihsane</w:t>
      </w:r>
      <w:proofErr w:type="spellEnd"/>
      <w:r>
        <w:rPr>
          <w:rFonts w:ascii="Arial" w:hAnsi="Arial" w:cs="Arial"/>
          <w:b/>
          <w:bCs/>
          <w:sz w:val="19"/>
          <w:szCs w:val="19"/>
          <w:lang w:val="es"/>
        </w:rPr>
        <w:t xml:space="preserve"> el </w:t>
      </w:r>
      <w:proofErr w:type="spellStart"/>
      <w:r>
        <w:rPr>
          <w:rFonts w:ascii="Arial" w:hAnsi="Arial" w:cs="Arial"/>
          <w:b/>
          <w:bCs/>
          <w:sz w:val="19"/>
          <w:szCs w:val="19"/>
          <w:lang w:val="es"/>
        </w:rPr>
        <w:t>Kadi</w:t>
      </w:r>
      <w:proofErr w:type="spellEnd"/>
      <w:r>
        <w:rPr>
          <w:rFonts w:ascii="Arial" w:hAnsi="Arial" w:cs="Arial"/>
          <w:b/>
          <w:bCs/>
          <w:sz w:val="19"/>
          <w:szCs w:val="19"/>
          <w:lang w:val="es"/>
        </w:rPr>
        <w:t xml:space="preserve"> se le había condenado por sus escritos. Las autoridades deben garantizar que </w:t>
      </w:r>
      <w:proofErr w:type="spellStart"/>
      <w:r>
        <w:rPr>
          <w:rFonts w:ascii="Arial" w:hAnsi="Arial" w:cs="Arial"/>
          <w:b/>
          <w:bCs/>
          <w:sz w:val="19"/>
          <w:szCs w:val="19"/>
          <w:lang w:val="es"/>
        </w:rPr>
        <w:t>Ihsane</w:t>
      </w:r>
      <w:proofErr w:type="spellEnd"/>
      <w:r>
        <w:rPr>
          <w:rFonts w:ascii="Arial" w:hAnsi="Arial" w:cs="Arial"/>
          <w:b/>
          <w:bCs/>
          <w:sz w:val="19"/>
          <w:szCs w:val="19"/>
          <w:lang w:val="es"/>
        </w:rPr>
        <w:t xml:space="preserve"> el </w:t>
      </w:r>
      <w:proofErr w:type="spellStart"/>
      <w:r>
        <w:rPr>
          <w:rFonts w:ascii="Arial" w:hAnsi="Arial" w:cs="Arial"/>
          <w:b/>
          <w:bCs/>
          <w:sz w:val="19"/>
          <w:szCs w:val="19"/>
          <w:lang w:val="es"/>
        </w:rPr>
        <w:t>Kadi</w:t>
      </w:r>
      <w:proofErr w:type="spellEnd"/>
      <w:r>
        <w:rPr>
          <w:rFonts w:ascii="Arial" w:hAnsi="Arial" w:cs="Arial"/>
          <w:b/>
          <w:bCs/>
          <w:sz w:val="19"/>
          <w:szCs w:val="19"/>
          <w:lang w:val="es"/>
        </w:rPr>
        <w:t xml:space="preserve"> sea excarcelado de la prisión de El </w:t>
      </w:r>
      <w:proofErr w:type="spellStart"/>
      <w:r>
        <w:rPr>
          <w:rFonts w:ascii="Arial" w:hAnsi="Arial" w:cs="Arial"/>
          <w:b/>
          <w:bCs/>
          <w:sz w:val="19"/>
          <w:szCs w:val="19"/>
          <w:lang w:val="es"/>
        </w:rPr>
        <w:t>Harrach</w:t>
      </w:r>
      <w:proofErr w:type="spellEnd"/>
      <w:r>
        <w:rPr>
          <w:rFonts w:ascii="Arial" w:hAnsi="Arial" w:cs="Arial"/>
          <w:b/>
          <w:bCs/>
          <w:sz w:val="19"/>
          <w:szCs w:val="19"/>
          <w:lang w:val="es"/>
        </w:rPr>
        <w:t xml:space="preserve"> de inmediato, incluso mediante un indulto presidencial.</w:t>
      </w:r>
    </w:p>
    <w:p w14:paraId="20EABA68" w14:textId="77777777" w:rsidR="005D2FCB" w:rsidRPr="00CA1758" w:rsidRDefault="005D2FCB" w:rsidP="009028D1">
      <w:pPr>
        <w:spacing w:after="0"/>
        <w:ind w:left="-283"/>
        <w:jc w:val="both"/>
        <w:rPr>
          <w:rFonts w:ascii="Arial" w:hAnsi="Arial" w:cs="Arial"/>
          <w:b/>
          <w:sz w:val="19"/>
          <w:szCs w:val="19"/>
          <w:lang w:val="es-ES"/>
        </w:rPr>
      </w:pPr>
    </w:p>
    <w:p w14:paraId="5E4BDAD8" w14:textId="77777777" w:rsidR="001160EE" w:rsidRPr="00CA1758" w:rsidRDefault="005D2C37" w:rsidP="001160EE">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2E9D2973" w:rsidR="005D2C37" w:rsidRPr="00CA1758" w:rsidRDefault="005D2C37" w:rsidP="001160EE">
      <w:pPr>
        <w:spacing w:after="0" w:line="240" w:lineRule="auto"/>
        <w:ind w:left="-283"/>
        <w:rPr>
          <w:rFonts w:ascii="Arial" w:hAnsi="Arial" w:cs="Arial"/>
          <w:b/>
          <w:color w:val="FF0000"/>
          <w:sz w:val="22"/>
          <w:lang w:val="es-ES"/>
        </w:rPr>
      </w:pPr>
      <w:r>
        <w:rPr>
          <w:rFonts w:ascii="Arial" w:hAnsi="Arial" w:cs="Arial"/>
          <w:b/>
          <w:bCs/>
          <w:noProof/>
          <w:sz w:val="20"/>
          <w:szCs w:val="20"/>
          <w:lang w:val="es"/>
        </w:rPr>
        <mc:AlternateContent>
          <mc:Choice Requires="wps">
            <w:drawing>
              <wp:anchor distT="0" distB="0" distL="114300" distR="114300" simplePos="0" relativeHeight="251658752"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7E028" id="Rectangle 11" o:spid="_x0000_s1026" style="position:absolute;margin-left:0;margin-top:6.95pt;width:498.75pt;height:49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8CCCD02" w14:textId="77777777" w:rsidR="008F43DC" w:rsidRPr="00CA1758" w:rsidRDefault="008F43DC" w:rsidP="008F43DC">
      <w:pPr>
        <w:spacing w:after="0" w:line="240" w:lineRule="auto"/>
        <w:ind w:left="-283"/>
        <w:jc w:val="right"/>
        <w:rPr>
          <w:rFonts w:cs="Arial"/>
          <w:bCs/>
          <w:i/>
          <w:sz w:val="20"/>
          <w:szCs w:val="20"/>
          <w:u w:val="single"/>
          <w:lang w:val="es-ES"/>
        </w:rPr>
      </w:pPr>
      <w:proofErr w:type="spellStart"/>
      <w:r>
        <w:rPr>
          <w:rFonts w:cs="Arial"/>
          <w:i/>
          <w:iCs/>
          <w:sz w:val="20"/>
          <w:szCs w:val="20"/>
          <w:u w:val="single"/>
          <w:lang w:val="es"/>
        </w:rPr>
        <w:t>President</w:t>
      </w:r>
      <w:proofErr w:type="spellEnd"/>
      <w:r>
        <w:rPr>
          <w:rFonts w:cs="Arial"/>
          <w:i/>
          <w:iCs/>
          <w:sz w:val="20"/>
          <w:szCs w:val="20"/>
          <w:u w:val="single"/>
          <w:lang w:val="es"/>
        </w:rPr>
        <w:t xml:space="preserve"> </w:t>
      </w:r>
      <w:proofErr w:type="spellStart"/>
      <w:r>
        <w:rPr>
          <w:rFonts w:cs="Arial"/>
          <w:i/>
          <w:iCs/>
          <w:sz w:val="20"/>
          <w:szCs w:val="20"/>
          <w:u w:val="single"/>
          <w:lang w:val="es"/>
        </w:rPr>
        <w:t>of</w:t>
      </w:r>
      <w:proofErr w:type="spellEnd"/>
      <w:r>
        <w:rPr>
          <w:rFonts w:cs="Arial"/>
          <w:i/>
          <w:iCs/>
          <w:sz w:val="20"/>
          <w:szCs w:val="20"/>
          <w:u w:val="single"/>
          <w:lang w:val="es"/>
        </w:rPr>
        <w:t xml:space="preserve"> </w:t>
      </w:r>
      <w:proofErr w:type="spellStart"/>
      <w:r>
        <w:rPr>
          <w:rFonts w:cs="Arial"/>
          <w:i/>
          <w:iCs/>
          <w:sz w:val="20"/>
          <w:szCs w:val="20"/>
          <w:u w:val="single"/>
          <w:lang w:val="es"/>
        </w:rPr>
        <w:t>the</w:t>
      </w:r>
      <w:proofErr w:type="spellEnd"/>
      <w:r>
        <w:rPr>
          <w:rFonts w:cs="Arial"/>
          <w:i/>
          <w:iCs/>
          <w:sz w:val="20"/>
          <w:szCs w:val="20"/>
          <w:u w:val="single"/>
          <w:lang w:val="es"/>
        </w:rPr>
        <w:t xml:space="preserve"> </w:t>
      </w:r>
      <w:proofErr w:type="spellStart"/>
      <w:r>
        <w:rPr>
          <w:rFonts w:cs="Arial"/>
          <w:i/>
          <w:iCs/>
          <w:sz w:val="20"/>
          <w:szCs w:val="20"/>
          <w:u w:val="single"/>
          <w:lang w:val="es"/>
        </w:rPr>
        <w:t>Republic</w:t>
      </w:r>
      <w:proofErr w:type="spellEnd"/>
      <w:r>
        <w:rPr>
          <w:rFonts w:cs="Arial"/>
          <w:i/>
          <w:iCs/>
          <w:sz w:val="20"/>
          <w:szCs w:val="20"/>
          <w:u w:val="single"/>
          <w:lang w:val="es"/>
        </w:rPr>
        <w:t xml:space="preserve"> </w:t>
      </w:r>
      <w:proofErr w:type="spellStart"/>
      <w:r>
        <w:rPr>
          <w:rFonts w:cs="Arial"/>
          <w:i/>
          <w:iCs/>
          <w:sz w:val="20"/>
          <w:szCs w:val="20"/>
          <w:u w:val="single"/>
          <w:lang w:val="es"/>
        </w:rPr>
        <w:t>of</w:t>
      </w:r>
      <w:proofErr w:type="spellEnd"/>
      <w:r>
        <w:rPr>
          <w:rFonts w:cs="Arial"/>
          <w:i/>
          <w:iCs/>
          <w:sz w:val="20"/>
          <w:szCs w:val="20"/>
          <w:u w:val="single"/>
          <w:lang w:val="es"/>
        </w:rPr>
        <w:t xml:space="preserve"> </w:t>
      </w:r>
      <w:proofErr w:type="spellStart"/>
      <w:r>
        <w:rPr>
          <w:rFonts w:cs="Arial"/>
          <w:i/>
          <w:iCs/>
          <w:sz w:val="20"/>
          <w:szCs w:val="20"/>
          <w:u w:val="single"/>
          <w:lang w:val="es"/>
        </w:rPr>
        <w:t>Algeria</w:t>
      </w:r>
      <w:proofErr w:type="spellEnd"/>
      <w:r>
        <w:rPr>
          <w:rFonts w:cs="Arial"/>
          <w:i/>
          <w:iCs/>
          <w:sz w:val="20"/>
          <w:szCs w:val="20"/>
          <w:u w:val="single"/>
          <w:lang w:val="es"/>
        </w:rPr>
        <w:t xml:space="preserve"> / </w:t>
      </w:r>
      <w:proofErr w:type="gramStart"/>
      <w:r>
        <w:rPr>
          <w:rFonts w:cs="Arial"/>
          <w:i/>
          <w:iCs/>
          <w:sz w:val="20"/>
          <w:szCs w:val="20"/>
          <w:u w:val="single"/>
          <w:lang w:val="es"/>
        </w:rPr>
        <w:t>Presidente</w:t>
      </w:r>
      <w:proofErr w:type="gramEnd"/>
      <w:r>
        <w:rPr>
          <w:rFonts w:cs="Arial"/>
          <w:i/>
          <w:iCs/>
          <w:sz w:val="20"/>
          <w:szCs w:val="20"/>
          <w:u w:val="single"/>
          <w:lang w:val="es"/>
        </w:rPr>
        <w:t xml:space="preserve"> de la República de Argelia</w:t>
      </w:r>
    </w:p>
    <w:p w14:paraId="53E18BB5" w14:textId="77777777" w:rsidR="008F43DC" w:rsidRPr="00CA1758" w:rsidRDefault="008F43DC" w:rsidP="008F43DC">
      <w:pPr>
        <w:spacing w:after="0" w:line="240" w:lineRule="auto"/>
        <w:ind w:left="-283"/>
        <w:jc w:val="right"/>
        <w:rPr>
          <w:rFonts w:cs="Arial"/>
          <w:i/>
          <w:sz w:val="20"/>
          <w:szCs w:val="20"/>
          <w:lang w:val="es-ES"/>
        </w:rPr>
      </w:pPr>
      <w:proofErr w:type="spellStart"/>
      <w:r>
        <w:rPr>
          <w:rFonts w:cs="Arial"/>
          <w:i/>
          <w:iCs/>
          <w:sz w:val="20"/>
          <w:szCs w:val="20"/>
          <w:lang w:val="es"/>
        </w:rPr>
        <w:t>Abdelmadjid</w:t>
      </w:r>
      <w:proofErr w:type="spellEnd"/>
      <w:r>
        <w:rPr>
          <w:rFonts w:cs="Arial"/>
          <w:i/>
          <w:iCs/>
          <w:sz w:val="20"/>
          <w:szCs w:val="20"/>
          <w:lang w:val="es"/>
        </w:rPr>
        <w:t xml:space="preserve"> </w:t>
      </w:r>
      <w:proofErr w:type="spellStart"/>
      <w:r>
        <w:rPr>
          <w:rFonts w:cs="Arial"/>
          <w:i/>
          <w:iCs/>
          <w:sz w:val="20"/>
          <w:szCs w:val="20"/>
          <w:lang w:val="es"/>
        </w:rPr>
        <w:t>Tebboune</w:t>
      </w:r>
      <w:proofErr w:type="spellEnd"/>
    </w:p>
    <w:p w14:paraId="0EB9919F" w14:textId="3E275EC0" w:rsidR="008F43DC" w:rsidRPr="00CA1758" w:rsidRDefault="008F43DC" w:rsidP="008F43DC">
      <w:pPr>
        <w:spacing w:after="0" w:line="240" w:lineRule="auto"/>
        <w:ind w:left="-283"/>
        <w:jc w:val="right"/>
        <w:rPr>
          <w:rFonts w:cs="Arial"/>
          <w:i/>
          <w:sz w:val="20"/>
          <w:szCs w:val="20"/>
          <w:lang w:val="es-ES"/>
        </w:rPr>
      </w:pPr>
      <w:proofErr w:type="spellStart"/>
      <w:r>
        <w:rPr>
          <w:rFonts w:cs="Arial"/>
          <w:i/>
          <w:iCs/>
          <w:sz w:val="20"/>
          <w:szCs w:val="20"/>
          <w:lang w:val="es"/>
        </w:rPr>
        <w:t>Présidence</w:t>
      </w:r>
      <w:proofErr w:type="spellEnd"/>
      <w:r>
        <w:rPr>
          <w:rFonts w:cs="Arial"/>
          <w:i/>
          <w:iCs/>
          <w:sz w:val="20"/>
          <w:szCs w:val="20"/>
          <w:lang w:val="es"/>
        </w:rPr>
        <w:t xml:space="preserve"> de la </w:t>
      </w:r>
      <w:proofErr w:type="spellStart"/>
      <w:r>
        <w:rPr>
          <w:rFonts w:cs="Arial"/>
          <w:i/>
          <w:iCs/>
          <w:sz w:val="20"/>
          <w:szCs w:val="20"/>
          <w:lang w:val="es"/>
        </w:rPr>
        <w:t>République</w:t>
      </w:r>
      <w:proofErr w:type="spellEnd"/>
    </w:p>
    <w:p w14:paraId="001445B3" w14:textId="77777777" w:rsidR="008F43DC" w:rsidRPr="00CA1758" w:rsidRDefault="008F43DC" w:rsidP="008F43DC">
      <w:pPr>
        <w:spacing w:after="0" w:line="240" w:lineRule="auto"/>
        <w:ind w:left="-283"/>
        <w:jc w:val="right"/>
        <w:rPr>
          <w:rFonts w:cs="Arial"/>
          <w:i/>
          <w:sz w:val="20"/>
          <w:szCs w:val="20"/>
          <w:lang w:val="es-ES"/>
        </w:rPr>
      </w:pPr>
      <w:r>
        <w:rPr>
          <w:rFonts w:cs="Arial"/>
          <w:i/>
          <w:iCs/>
          <w:sz w:val="20"/>
          <w:szCs w:val="20"/>
          <w:lang w:val="es"/>
        </w:rPr>
        <w:t xml:space="preserve">Place Mohammed </w:t>
      </w:r>
      <w:proofErr w:type="spellStart"/>
      <w:r>
        <w:rPr>
          <w:rFonts w:cs="Arial"/>
          <w:i/>
          <w:iCs/>
          <w:sz w:val="20"/>
          <w:szCs w:val="20"/>
          <w:lang w:val="es"/>
        </w:rPr>
        <w:t>Seddik</w:t>
      </w:r>
      <w:proofErr w:type="spellEnd"/>
      <w:r>
        <w:rPr>
          <w:rFonts w:cs="Arial"/>
          <w:i/>
          <w:iCs/>
          <w:sz w:val="20"/>
          <w:szCs w:val="20"/>
          <w:lang w:val="es"/>
        </w:rPr>
        <w:t xml:space="preserve"> </w:t>
      </w:r>
      <w:proofErr w:type="spellStart"/>
      <w:r>
        <w:rPr>
          <w:rFonts w:cs="Arial"/>
          <w:i/>
          <w:iCs/>
          <w:sz w:val="20"/>
          <w:szCs w:val="20"/>
          <w:lang w:val="es"/>
        </w:rPr>
        <w:t>Benyahiya</w:t>
      </w:r>
      <w:proofErr w:type="spellEnd"/>
      <w:r>
        <w:rPr>
          <w:rFonts w:cs="Arial"/>
          <w:i/>
          <w:iCs/>
          <w:sz w:val="20"/>
          <w:szCs w:val="20"/>
          <w:lang w:val="es"/>
        </w:rPr>
        <w:t xml:space="preserve">, El </w:t>
      </w:r>
      <w:proofErr w:type="spellStart"/>
      <w:r>
        <w:rPr>
          <w:rFonts w:cs="Arial"/>
          <w:i/>
          <w:iCs/>
          <w:sz w:val="20"/>
          <w:szCs w:val="20"/>
          <w:lang w:val="es"/>
        </w:rPr>
        <w:t>Mouradia</w:t>
      </w:r>
      <w:proofErr w:type="spellEnd"/>
      <w:r>
        <w:rPr>
          <w:rFonts w:cs="Arial"/>
          <w:i/>
          <w:iCs/>
          <w:sz w:val="20"/>
          <w:szCs w:val="20"/>
          <w:lang w:val="es"/>
        </w:rPr>
        <w:t>,</w:t>
      </w:r>
    </w:p>
    <w:p w14:paraId="24C29BB3" w14:textId="3EE71560" w:rsidR="008F43DC" w:rsidRPr="00CA1758" w:rsidRDefault="008F43DC" w:rsidP="008F43DC">
      <w:pPr>
        <w:spacing w:after="0" w:line="240" w:lineRule="auto"/>
        <w:ind w:left="-283"/>
        <w:jc w:val="right"/>
        <w:rPr>
          <w:rFonts w:cs="Arial"/>
          <w:i/>
          <w:sz w:val="20"/>
          <w:szCs w:val="20"/>
          <w:lang w:val="it-IT"/>
        </w:rPr>
      </w:pPr>
      <w:r w:rsidRPr="00CA1758">
        <w:rPr>
          <w:rFonts w:cs="Arial"/>
          <w:i/>
          <w:iCs/>
          <w:sz w:val="20"/>
          <w:szCs w:val="20"/>
          <w:lang w:val="it-IT"/>
        </w:rPr>
        <w:t>Alger, 16000 Argelia</w:t>
      </w:r>
    </w:p>
    <w:p w14:paraId="58DBFA4B" w14:textId="77777777" w:rsidR="008F43DC" w:rsidRPr="00CA1758" w:rsidRDefault="008F43DC" w:rsidP="008F43DC">
      <w:pPr>
        <w:spacing w:after="0" w:line="240" w:lineRule="auto"/>
        <w:ind w:left="-283"/>
        <w:jc w:val="right"/>
        <w:rPr>
          <w:rFonts w:cs="Arial"/>
          <w:i/>
          <w:sz w:val="20"/>
          <w:szCs w:val="20"/>
          <w:lang w:val="it-IT"/>
        </w:rPr>
      </w:pPr>
      <w:r w:rsidRPr="00CA1758">
        <w:rPr>
          <w:rFonts w:cs="Arial"/>
          <w:i/>
          <w:iCs/>
          <w:sz w:val="20"/>
          <w:szCs w:val="20"/>
          <w:lang w:val="it-IT"/>
        </w:rPr>
        <w:t>Fax +213021691595</w:t>
      </w:r>
    </w:p>
    <w:p w14:paraId="0A1DF5AD" w14:textId="06B54EB9" w:rsidR="008F43DC" w:rsidRPr="00CA1758" w:rsidRDefault="008F43DC" w:rsidP="008F43DC">
      <w:pPr>
        <w:spacing w:after="0" w:line="240" w:lineRule="auto"/>
        <w:ind w:left="-283"/>
        <w:jc w:val="right"/>
        <w:rPr>
          <w:rFonts w:cs="Arial"/>
          <w:i/>
          <w:sz w:val="20"/>
          <w:szCs w:val="20"/>
          <w:lang w:val="it-IT"/>
        </w:rPr>
      </w:pPr>
      <w:r w:rsidRPr="00CA1758">
        <w:rPr>
          <w:rFonts w:cs="Arial"/>
          <w:i/>
          <w:iCs/>
          <w:sz w:val="20"/>
          <w:szCs w:val="20"/>
          <w:lang w:val="it-IT"/>
        </w:rPr>
        <w:t xml:space="preserve">Correo-e: </w:t>
      </w:r>
      <w:hyperlink r:id="rId7" w:history="1">
        <w:r w:rsidRPr="00CA1758">
          <w:rPr>
            <w:rStyle w:val="Hipervnculo"/>
            <w:rFonts w:cs="Arial"/>
            <w:i/>
            <w:iCs/>
            <w:sz w:val="20"/>
            <w:szCs w:val="20"/>
            <w:lang w:val="it-IT"/>
          </w:rPr>
          <w:t>President@el-mouradia.dz</w:t>
        </w:r>
      </w:hyperlink>
    </w:p>
    <w:p w14:paraId="0D71DBE6" w14:textId="77777777" w:rsidR="00EC36F1" w:rsidRPr="00CA1758" w:rsidRDefault="008F43DC" w:rsidP="00A95BD1">
      <w:pPr>
        <w:spacing w:after="0" w:line="240" w:lineRule="auto"/>
        <w:ind w:left="-283"/>
        <w:jc w:val="both"/>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7B9E4DFC" w14:textId="77777777" w:rsidR="00EC36F1" w:rsidRPr="00CA1758" w:rsidRDefault="00EC36F1" w:rsidP="00A95BD1">
      <w:pPr>
        <w:spacing w:after="0" w:line="240" w:lineRule="auto"/>
        <w:ind w:left="-283"/>
        <w:jc w:val="both"/>
        <w:rPr>
          <w:rFonts w:cs="Arial"/>
          <w:i/>
          <w:sz w:val="20"/>
          <w:szCs w:val="20"/>
          <w:lang w:val="es-ES"/>
        </w:rPr>
      </w:pPr>
    </w:p>
    <w:p w14:paraId="685DDA97" w14:textId="073002EC" w:rsidR="007B684C" w:rsidRPr="00CA1758" w:rsidRDefault="00D22149" w:rsidP="000F4E40">
      <w:pPr>
        <w:spacing w:after="0" w:line="240" w:lineRule="auto"/>
        <w:ind w:left="-283"/>
        <w:jc w:val="both"/>
        <w:rPr>
          <w:rFonts w:cs="Arial"/>
          <w:i/>
          <w:sz w:val="20"/>
          <w:szCs w:val="20"/>
          <w:lang w:val="es-ES"/>
        </w:rPr>
      </w:pPr>
      <w:r>
        <w:rPr>
          <w:rFonts w:cs="Arial"/>
          <w:i/>
          <w:iCs/>
          <w:sz w:val="20"/>
          <w:szCs w:val="20"/>
          <w:lang w:val="es"/>
        </w:rPr>
        <w:t xml:space="preserve">Le escribo para expresar mi profunda preocupación sobre la reclusión del periodista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tras la decisión del Tribunal Supremo de Argelia de rechazar su recurso de apelación y así confirmar las condenas de </w:t>
      </w:r>
      <w:bookmarkStart w:id="1" w:name="_Hlk152080204"/>
      <w:r>
        <w:rPr>
          <w:rFonts w:cs="Arial"/>
          <w:i/>
          <w:iCs/>
          <w:sz w:val="20"/>
          <w:szCs w:val="20"/>
          <w:lang w:val="es"/>
        </w:rPr>
        <w:t xml:space="preserve">siete años —de los cuales dos </w:t>
      </w:r>
      <w:r w:rsidR="00CA1758">
        <w:rPr>
          <w:rFonts w:cs="Arial"/>
          <w:i/>
          <w:iCs/>
          <w:sz w:val="20"/>
          <w:szCs w:val="20"/>
          <w:lang w:val="es"/>
        </w:rPr>
        <w:t>con carácter</w:t>
      </w:r>
      <w:r>
        <w:rPr>
          <w:rFonts w:cs="Arial"/>
          <w:i/>
          <w:iCs/>
          <w:sz w:val="20"/>
          <w:szCs w:val="20"/>
          <w:lang w:val="es"/>
        </w:rPr>
        <w:t xml:space="preserve"> condicional— y de seis meses</w:t>
      </w:r>
      <w:bookmarkEnd w:id="1"/>
      <w:r>
        <w:rPr>
          <w:rFonts w:cs="Arial"/>
          <w:i/>
          <w:iCs/>
          <w:sz w:val="20"/>
          <w:szCs w:val="20"/>
          <w:lang w:val="es"/>
        </w:rPr>
        <w:t>, ambas por cargos falsos e imprecisos que son incompatibles con el derecho internacional de los derechos humanos y que las autoridades de Argelia han usado para criminalizar el periodismo.</w:t>
      </w:r>
    </w:p>
    <w:p w14:paraId="1C117C14" w14:textId="3F66DDF5" w:rsidR="0096671D" w:rsidRPr="00CA1758" w:rsidRDefault="0096671D" w:rsidP="000F4E40">
      <w:pPr>
        <w:spacing w:after="0" w:line="240" w:lineRule="auto"/>
        <w:ind w:left="-283"/>
        <w:jc w:val="both"/>
        <w:rPr>
          <w:rFonts w:cs="Arial"/>
          <w:i/>
          <w:sz w:val="20"/>
          <w:szCs w:val="20"/>
          <w:lang w:val="es-ES"/>
        </w:rPr>
      </w:pPr>
    </w:p>
    <w:p w14:paraId="3C909D69" w14:textId="57791968" w:rsidR="00CF24D0" w:rsidRPr="00CA1758" w:rsidRDefault="0096671D" w:rsidP="00F12A37">
      <w:pPr>
        <w:spacing w:after="0" w:line="240" w:lineRule="auto"/>
        <w:ind w:left="-283"/>
        <w:jc w:val="both"/>
        <w:rPr>
          <w:rFonts w:cs="Arial"/>
          <w:i/>
          <w:sz w:val="20"/>
          <w:szCs w:val="20"/>
          <w:lang w:val="es-ES"/>
        </w:rPr>
      </w:pPr>
      <w:r>
        <w:rPr>
          <w:rFonts w:cs="Arial"/>
          <w:i/>
          <w:iCs/>
          <w:sz w:val="20"/>
          <w:szCs w:val="20"/>
          <w:lang w:val="es"/>
        </w:rPr>
        <w:t xml:space="preserve">El 12 de octubre de 2023, el Tribunal Supremo de Justicia de Argelia rechazó dos recursos de apelación presentados por la defensa letrada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El primer recurso, en casación, impugnaba la condena de El </w:t>
      </w:r>
      <w:proofErr w:type="spellStart"/>
      <w:r>
        <w:rPr>
          <w:rFonts w:cs="Arial"/>
          <w:i/>
          <w:iCs/>
          <w:sz w:val="20"/>
          <w:szCs w:val="20"/>
          <w:lang w:val="es"/>
        </w:rPr>
        <w:t>Kadi</w:t>
      </w:r>
      <w:proofErr w:type="spellEnd"/>
      <w:r>
        <w:rPr>
          <w:rFonts w:cs="Arial"/>
          <w:i/>
          <w:iCs/>
          <w:sz w:val="20"/>
          <w:szCs w:val="20"/>
          <w:lang w:val="es"/>
        </w:rPr>
        <w:t xml:space="preserve"> por recibir fondos del extranjero con la intención de </w:t>
      </w:r>
      <w:r w:rsidR="00CA1758">
        <w:rPr>
          <w:rFonts w:cs="Arial"/>
          <w:i/>
          <w:iCs/>
          <w:sz w:val="20"/>
          <w:szCs w:val="20"/>
          <w:lang w:val="es"/>
        </w:rPr>
        <w:t>“</w:t>
      </w:r>
      <w:r>
        <w:rPr>
          <w:rFonts w:cs="Arial"/>
          <w:i/>
          <w:iCs/>
          <w:sz w:val="20"/>
          <w:szCs w:val="20"/>
          <w:lang w:val="es"/>
        </w:rPr>
        <w:t>socavar la seguridad del Estado</w:t>
      </w:r>
      <w:r w:rsidR="00FA0AC6">
        <w:rPr>
          <w:rFonts w:cs="Arial"/>
          <w:i/>
          <w:iCs/>
          <w:sz w:val="20"/>
          <w:szCs w:val="20"/>
          <w:lang w:val="es"/>
        </w:rPr>
        <w:t>”</w:t>
      </w:r>
      <w:r>
        <w:rPr>
          <w:rFonts w:cs="Arial"/>
          <w:i/>
          <w:iCs/>
          <w:sz w:val="20"/>
          <w:szCs w:val="20"/>
          <w:lang w:val="es"/>
        </w:rPr>
        <w:t xml:space="preserve"> —en referencia a la financiación de su empresa independiente de medios de comunicación—.</w:t>
      </w:r>
    </w:p>
    <w:p w14:paraId="246C7AA6" w14:textId="77777777" w:rsidR="00CF24D0" w:rsidRPr="00CA1758" w:rsidRDefault="00CF24D0" w:rsidP="00CF24D0">
      <w:pPr>
        <w:spacing w:after="0" w:line="240" w:lineRule="auto"/>
        <w:ind w:left="-283"/>
        <w:jc w:val="both"/>
        <w:rPr>
          <w:rFonts w:cs="Arial"/>
          <w:i/>
          <w:sz w:val="20"/>
          <w:szCs w:val="20"/>
          <w:lang w:val="es-ES"/>
        </w:rPr>
      </w:pPr>
    </w:p>
    <w:p w14:paraId="6ADDDD3A" w14:textId="0251A078" w:rsidR="0096671D" w:rsidRPr="00CA1758" w:rsidRDefault="0096671D" w:rsidP="00CF24D0">
      <w:pPr>
        <w:spacing w:after="0" w:line="240" w:lineRule="auto"/>
        <w:ind w:left="-283"/>
        <w:jc w:val="both"/>
        <w:rPr>
          <w:rFonts w:cs="Arial"/>
          <w:i/>
          <w:sz w:val="20"/>
          <w:szCs w:val="20"/>
          <w:lang w:val="es-ES"/>
        </w:rPr>
      </w:pPr>
      <w:r>
        <w:rPr>
          <w:rFonts w:cs="Arial"/>
          <w:i/>
          <w:iCs/>
          <w:sz w:val="20"/>
          <w:szCs w:val="20"/>
          <w:lang w:val="es"/>
        </w:rPr>
        <w:t xml:space="preserve">El segundo recurso era relativo a una condena anterior de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a seis meses de prisión por un artículo que publicó, en el que analizaba el papel del partido político no reconocido Rachad en el movimiento de protestas </w:t>
      </w:r>
      <w:proofErr w:type="spellStart"/>
      <w:r>
        <w:rPr>
          <w:rFonts w:cs="Arial"/>
          <w:i/>
          <w:iCs/>
          <w:sz w:val="20"/>
          <w:szCs w:val="20"/>
          <w:lang w:val="es"/>
        </w:rPr>
        <w:t>Hirak</w:t>
      </w:r>
      <w:proofErr w:type="spellEnd"/>
      <w:r>
        <w:rPr>
          <w:rFonts w:cs="Arial"/>
          <w:i/>
          <w:iCs/>
          <w:sz w:val="20"/>
          <w:szCs w:val="20"/>
          <w:lang w:val="es"/>
        </w:rPr>
        <w:t xml:space="preserve">. En marzo de 2021, la gendarmería de </w:t>
      </w:r>
      <w:proofErr w:type="spellStart"/>
      <w:r>
        <w:rPr>
          <w:rFonts w:cs="Arial"/>
          <w:i/>
          <w:iCs/>
          <w:sz w:val="20"/>
          <w:szCs w:val="20"/>
          <w:lang w:val="es"/>
        </w:rPr>
        <w:t>Bab</w:t>
      </w:r>
      <w:proofErr w:type="spellEnd"/>
      <w:r>
        <w:rPr>
          <w:rFonts w:cs="Arial"/>
          <w:i/>
          <w:iCs/>
          <w:sz w:val="20"/>
          <w:szCs w:val="20"/>
          <w:lang w:val="es"/>
        </w:rPr>
        <w:t xml:space="preserve"> </w:t>
      </w:r>
      <w:proofErr w:type="spellStart"/>
      <w:r>
        <w:rPr>
          <w:rFonts w:cs="Arial"/>
          <w:i/>
          <w:iCs/>
          <w:sz w:val="20"/>
          <w:szCs w:val="20"/>
          <w:lang w:val="es"/>
        </w:rPr>
        <w:t>Jdid</w:t>
      </w:r>
      <w:proofErr w:type="spellEnd"/>
      <w:r>
        <w:rPr>
          <w:rFonts w:cs="Arial"/>
          <w:i/>
          <w:iCs/>
          <w:sz w:val="20"/>
          <w:szCs w:val="20"/>
          <w:lang w:val="es"/>
        </w:rPr>
        <w:t xml:space="preserve"> citó a </w:t>
      </w:r>
      <w:proofErr w:type="spellStart"/>
      <w:r>
        <w:rPr>
          <w:rFonts w:cs="Arial"/>
          <w:i/>
          <w:iCs/>
          <w:sz w:val="20"/>
          <w:szCs w:val="20"/>
          <w:lang w:val="es"/>
        </w:rPr>
        <w:t>Ihsane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tras una denuncia presentada en su contra por el ministro de Comunicación por ese artículo, y, en junio de 2022, un tribunal lo condenó a seis meses de prisión y una multa por </w:t>
      </w:r>
      <w:r w:rsidR="00FA0AC6">
        <w:rPr>
          <w:rFonts w:cs="Arial"/>
          <w:i/>
          <w:iCs/>
          <w:sz w:val="20"/>
          <w:szCs w:val="20"/>
          <w:lang w:val="es"/>
        </w:rPr>
        <w:t>“</w:t>
      </w:r>
      <w:r>
        <w:rPr>
          <w:rFonts w:cs="Arial"/>
          <w:i/>
          <w:iCs/>
          <w:sz w:val="20"/>
          <w:szCs w:val="20"/>
          <w:lang w:val="es"/>
        </w:rPr>
        <w:t>publicar información falsa</w:t>
      </w:r>
      <w:r w:rsidR="00FA0AC6">
        <w:rPr>
          <w:rFonts w:cs="Arial"/>
          <w:i/>
          <w:iCs/>
          <w:sz w:val="20"/>
          <w:szCs w:val="20"/>
          <w:lang w:val="es"/>
        </w:rPr>
        <w:t>”</w:t>
      </w:r>
      <w:r>
        <w:rPr>
          <w:rFonts w:cs="Arial"/>
          <w:i/>
          <w:iCs/>
          <w:sz w:val="20"/>
          <w:szCs w:val="20"/>
          <w:lang w:val="es"/>
        </w:rPr>
        <w:t xml:space="preserve">, en aplicación del artículo 196 bis. El Tribunal Supremo de Justicia resolvió que no se celebraría un nuevo juicio por este caso, a pesar de que el artículo 54 de la Constitución reza: </w:t>
      </w:r>
      <w:r w:rsidR="00FA0AC6">
        <w:rPr>
          <w:rFonts w:cs="Arial"/>
          <w:i/>
          <w:iCs/>
          <w:sz w:val="20"/>
          <w:szCs w:val="20"/>
          <w:lang w:val="es"/>
        </w:rPr>
        <w:t>“</w:t>
      </w:r>
      <w:r>
        <w:rPr>
          <w:rFonts w:cs="Arial"/>
          <w:i/>
          <w:iCs/>
          <w:sz w:val="20"/>
          <w:szCs w:val="20"/>
          <w:lang w:val="es"/>
        </w:rPr>
        <w:t>los delitos de prensa no pueden ser sometidos a penas privativas de la libertad</w:t>
      </w:r>
      <w:r w:rsidR="00FA0AC6">
        <w:rPr>
          <w:rFonts w:cs="Arial"/>
          <w:i/>
          <w:iCs/>
          <w:sz w:val="20"/>
          <w:szCs w:val="20"/>
          <w:lang w:val="es"/>
        </w:rPr>
        <w:t>”</w:t>
      </w:r>
      <w:r>
        <w:rPr>
          <w:rFonts w:cs="Arial"/>
          <w:i/>
          <w:iCs/>
          <w:sz w:val="20"/>
          <w:szCs w:val="20"/>
          <w:lang w:val="es"/>
        </w:rPr>
        <w:t>.</w:t>
      </w:r>
    </w:p>
    <w:p w14:paraId="1567F6BB" w14:textId="6567D75A" w:rsidR="008F134C" w:rsidRPr="00CA1758" w:rsidRDefault="008F134C" w:rsidP="00CF24D0">
      <w:pPr>
        <w:spacing w:after="0" w:line="240" w:lineRule="auto"/>
        <w:ind w:left="-283"/>
        <w:jc w:val="both"/>
        <w:rPr>
          <w:rFonts w:cs="Arial"/>
          <w:i/>
          <w:sz w:val="20"/>
          <w:szCs w:val="20"/>
          <w:lang w:val="es-ES"/>
        </w:rPr>
      </w:pPr>
    </w:p>
    <w:p w14:paraId="20413260" w14:textId="77777777" w:rsidR="007B684C" w:rsidRPr="00CA1758" w:rsidRDefault="008F134C" w:rsidP="00A14DEE">
      <w:pPr>
        <w:spacing w:after="0" w:line="240" w:lineRule="auto"/>
        <w:ind w:left="-283"/>
        <w:jc w:val="both"/>
        <w:rPr>
          <w:rFonts w:cs="Arial"/>
          <w:i/>
          <w:sz w:val="20"/>
          <w:szCs w:val="20"/>
          <w:lang w:val="es-ES"/>
        </w:rPr>
      </w:pPr>
      <w:proofErr w:type="spellStart"/>
      <w:r>
        <w:rPr>
          <w:rFonts w:cs="Arial"/>
          <w:i/>
          <w:iCs/>
          <w:sz w:val="20"/>
          <w:szCs w:val="20"/>
          <w:lang w:val="es"/>
        </w:rPr>
        <w:t>Ishane</w:t>
      </w:r>
      <w:proofErr w:type="spellEnd"/>
      <w:r>
        <w:rPr>
          <w:rFonts w:cs="Arial"/>
          <w:i/>
          <w:iCs/>
          <w:sz w:val="20"/>
          <w:szCs w:val="20"/>
          <w:lang w:val="es"/>
        </w:rPr>
        <w:t xml:space="preserve"> el </w:t>
      </w:r>
      <w:proofErr w:type="spellStart"/>
      <w:r>
        <w:rPr>
          <w:rFonts w:cs="Arial"/>
          <w:i/>
          <w:iCs/>
          <w:sz w:val="20"/>
          <w:szCs w:val="20"/>
          <w:lang w:val="es"/>
        </w:rPr>
        <w:t>Kadi</w:t>
      </w:r>
      <w:proofErr w:type="spellEnd"/>
      <w:r>
        <w:rPr>
          <w:rFonts w:cs="Arial"/>
          <w:i/>
          <w:iCs/>
          <w:sz w:val="20"/>
          <w:szCs w:val="20"/>
          <w:lang w:val="es"/>
        </w:rPr>
        <w:t xml:space="preserve">, de 44 años, ha cumplido más de un año de detención arbitraria en la prisión de El </w:t>
      </w:r>
      <w:proofErr w:type="spellStart"/>
      <w:r>
        <w:rPr>
          <w:rFonts w:cs="Arial"/>
          <w:i/>
          <w:iCs/>
          <w:sz w:val="20"/>
          <w:szCs w:val="20"/>
          <w:lang w:val="es"/>
        </w:rPr>
        <w:t>Harrach</w:t>
      </w:r>
      <w:proofErr w:type="spellEnd"/>
      <w:r>
        <w:rPr>
          <w:rFonts w:cs="Arial"/>
          <w:i/>
          <w:iCs/>
          <w:sz w:val="20"/>
          <w:szCs w:val="20"/>
          <w:lang w:val="es"/>
        </w:rPr>
        <w:t xml:space="preserve"> bajo acusaciones falsas que son incompatibles con lo que establece el derecho internacional de los derechos humanos con respecto al derecho a la libertad de expresión. Esta reclusión prolongada está haciendo mella en su salud.</w:t>
      </w:r>
    </w:p>
    <w:p w14:paraId="31599787" w14:textId="7397C3D8" w:rsidR="00EA68CE" w:rsidRPr="00CA1758" w:rsidRDefault="00EA68CE" w:rsidP="000C237A">
      <w:pPr>
        <w:spacing w:after="0" w:line="240" w:lineRule="auto"/>
        <w:jc w:val="both"/>
        <w:rPr>
          <w:rFonts w:cs="Arial"/>
          <w:i/>
          <w:sz w:val="20"/>
          <w:szCs w:val="20"/>
          <w:lang w:val="es-ES"/>
        </w:rPr>
      </w:pPr>
    </w:p>
    <w:p w14:paraId="0BD98ADD" w14:textId="7A6C5C4F" w:rsidR="003E187F" w:rsidRPr="00CA1758" w:rsidRDefault="00631B63" w:rsidP="00A95BD1">
      <w:pPr>
        <w:spacing w:after="0" w:line="240" w:lineRule="auto"/>
        <w:ind w:left="-283"/>
        <w:jc w:val="both"/>
        <w:rPr>
          <w:rFonts w:cs="Arial"/>
          <w:b/>
          <w:i/>
          <w:sz w:val="20"/>
          <w:szCs w:val="20"/>
          <w:lang w:val="es-ES"/>
        </w:rPr>
      </w:pPr>
      <w:bookmarkStart w:id="2" w:name="_Hlk152237069"/>
      <w:r>
        <w:rPr>
          <w:rFonts w:cs="Arial"/>
          <w:b/>
          <w:bCs/>
          <w:i/>
          <w:iCs/>
          <w:sz w:val="20"/>
          <w:szCs w:val="20"/>
          <w:lang w:val="es"/>
        </w:rPr>
        <w:t xml:space="preserve">Le insto a que le conceda a </w:t>
      </w:r>
      <w:proofErr w:type="spellStart"/>
      <w:r>
        <w:rPr>
          <w:rFonts w:cs="Arial"/>
          <w:b/>
          <w:bCs/>
          <w:i/>
          <w:iCs/>
          <w:sz w:val="20"/>
          <w:szCs w:val="20"/>
          <w:lang w:val="es"/>
        </w:rPr>
        <w:t>Ihsane</w:t>
      </w:r>
      <w:proofErr w:type="spellEnd"/>
      <w:r>
        <w:rPr>
          <w:rFonts w:cs="Arial"/>
          <w:b/>
          <w:bCs/>
          <w:i/>
          <w:iCs/>
          <w:sz w:val="20"/>
          <w:szCs w:val="20"/>
          <w:lang w:val="es"/>
        </w:rPr>
        <w:t xml:space="preserve"> el </w:t>
      </w:r>
      <w:proofErr w:type="spellStart"/>
      <w:r>
        <w:rPr>
          <w:rFonts w:cs="Arial"/>
          <w:b/>
          <w:bCs/>
          <w:i/>
          <w:iCs/>
          <w:sz w:val="20"/>
          <w:szCs w:val="20"/>
          <w:lang w:val="es"/>
        </w:rPr>
        <w:t>Kadi</w:t>
      </w:r>
      <w:proofErr w:type="spellEnd"/>
      <w:r>
        <w:rPr>
          <w:rFonts w:cs="Arial"/>
          <w:b/>
          <w:bCs/>
          <w:i/>
          <w:iCs/>
          <w:sz w:val="20"/>
          <w:szCs w:val="20"/>
          <w:lang w:val="es"/>
        </w:rPr>
        <w:t xml:space="preserve"> un indulto presidencial</w:t>
      </w:r>
      <w:bookmarkEnd w:id="2"/>
      <w:r>
        <w:rPr>
          <w:rFonts w:cs="Arial"/>
          <w:sz w:val="20"/>
          <w:szCs w:val="20"/>
          <w:lang w:val="es"/>
        </w:rPr>
        <w:t>.</w:t>
      </w:r>
      <w:r>
        <w:rPr>
          <w:rFonts w:cs="Arial"/>
          <w:b/>
          <w:bCs/>
          <w:i/>
          <w:iCs/>
          <w:sz w:val="20"/>
          <w:szCs w:val="20"/>
          <w:lang w:val="es"/>
        </w:rPr>
        <w:t xml:space="preserve"> Le pido, asimismo, que ponga fin a la represión y censura selectivas de medios de comunicación y periodistas independientes de Argelia, que se llevan a cabo en virtud de artículos poco precisos del Código Penal, empleados para vulnerar el derecho a la libertad de expresión.</w:t>
      </w:r>
    </w:p>
    <w:p w14:paraId="00365EED" w14:textId="77777777" w:rsidR="007B684C" w:rsidRPr="00CA1758" w:rsidRDefault="007B684C" w:rsidP="00A95BD1">
      <w:pPr>
        <w:spacing w:after="0" w:line="240" w:lineRule="auto"/>
        <w:ind w:left="-283"/>
        <w:jc w:val="both"/>
        <w:rPr>
          <w:rFonts w:cs="Arial"/>
          <w:b/>
          <w:i/>
          <w:sz w:val="20"/>
          <w:szCs w:val="20"/>
          <w:lang w:val="es-ES"/>
        </w:rPr>
      </w:pPr>
    </w:p>
    <w:p w14:paraId="4D0ADB50" w14:textId="77777777" w:rsidR="007B684C" w:rsidRPr="00CA1758" w:rsidRDefault="007B684C" w:rsidP="00A95BD1">
      <w:pPr>
        <w:spacing w:after="0" w:line="240" w:lineRule="auto"/>
        <w:ind w:left="-283"/>
        <w:jc w:val="both"/>
        <w:rPr>
          <w:rFonts w:cs="Arial"/>
          <w:i/>
          <w:sz w:val="20"/>
          <w:szCs w:val="20"/>
          <w:lang w:val="es-ES"/>
        </w:rPr>
      </w:pPr>
      <w:r>
        <w:rPr>
          <w:rFonts w:cs="Arial"/>
          <w:i/>
          <w:iCs/>
          <w:sz w:val="20"/>
          <w:szCs w:val="20"/>
          <w:lang w:val="es"/>
        </w:rPr>
        <w:t>Atentamente,</w:t>
      </w:r>
    </w:p>
    <w:p w14:paraId="65BD0C74" w14:textId="348C733D" w:rsidR="00080285" w:rsidRPr="00CA1758" w:rsidRDefault="007B684C" w:rsidP="00A95BD1">
      <w:pPr>
        <w:spacing w:after="0" w:line="240" w:lineRule="auto"/>
        <w:ind w:left="-283"/>
        <w:jc w:val="both"/>
        <w:rPr>
          <w:rFonts w:cs="Arial"/>
          <w:i/>
          <w:sz w:val="20"/>
          <w:szCs w:val="20"/>
          <w:lang w:val="es-ES"/>
        </w:rPr>
      </w:pPr>
      <w:r>
        <w:rPr>
          <w:rFonts w:cs="Arial"/>
          <w:i/>
          <w:iCs/>
          <w:sz w:val="20"/>
          <w:szCs w:val="20"/>
          <w:lang w:val="es"/>
        </w:rPr>
        <w:t>[NOMBRE]</w:t>
      </w:r>
    </w:p>
    <w:p w14:paraId="5CB841A2" w14:textId="77777777" w:rsidR="00080285" w:rsidRPr="00CA1758" w:rsidRDefault="00080285" w:rsidP="00A95BD1">
      <w:pPr>
        <w:spacing w:after="0" w:line="240" w:lineRule="auto"/>
        <w:ind w:left="-283"/>
        <w:jc w:val="both"/>
        <w:rPr>
          <w:rFonts w:cs="Arial"/>
          <w:i/>
          <w:sz w:val="20"/>
          <w:szCs w:val="20"/>
          <w:lang w:val="es-ES"/>
        </w:rPr>
      </w:pPr>
    </w:p>
    <w:p w14:paraId="5161BA90" w14:textId="77777777" w:rsidR="00080285" w:rsidRPr="00CA1758" w:rsidRDefault="00080285" w:rsidP="00A95BD1">
      <w:pPr>
        <w:spacing w:after="0" w:line="240" w:lineRule="auto"/>
        <w:ind w:left="-283"/>
        <w:jc w:val="both"/>
        <w:rPr>
          <w:rFonts w:cs="Arial"/>
          <w:i/>
          <w:sz w:val="20"/>
          <w:szCs w:val="20"/>
          <w:lang w:val="es-ES"/>
        </w:rPr>
      </w:pPr>
    </w:p>
    <w:p w14:paraId="115BB598" w14:textId="5EB7528C" w:rsidR="005D2C37" w:rsidRPr="00CA1758" w:rsidRDefault="0082127B" w:rsidP="00C45E95">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2986D3F" w14:textId="77777777" w:rsidR="00C45E95" w:rsidRPr="00CA1758" w:rsidRDefault="00C45E95" w:rsidP="00C45E95">
      <w:pPr>
        <w:spacing w:after="0" w:line="240" w:lineRule="auto"/>
        <w:rPr>
          <w:rFonts w:ascii="Arial" w:hAnsi="Arial" w:cs="Arial"/>
          <w:szCs w:val="20"/>
          <w:lang w:val="es-ES"/>
        </w:rPr>
      </w:pPr>
    </w:p>
    <w:p w14:paraId="704CB1FD" w14:textId="335D7D4C" w:rsidR="004D3BF0" w:rsidRPr="00CA1758" w:rsidRDefault="00054880" w:rsidP="00721B48">
      <w:pPr>
        <w:spacing w:after="120" w:line="240" w:lineRule="auto"/>
        <w:jc w:val="both"/>
        <w:rPr>
          <w:rFonts w:ascii="Arial" w:hAnsi="Arial" w:cs="Arial"/>
          <w:szCs w:val="18"/>
          <w:lang w:val="es-ES"/>
        </w:rPr>
      </w:pP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es periodista, además de director y fundador de </w:t>
      </w:r>
      <w:proofErr w:type="gramStart"/>
      <w:r>
        <w:rPr>
          <w:rFonts w:ascii="Arial" w:hAnsi="Arial" w:cs="Arial"/>
          <w:szCs w:val="18"/>
          <w:lang w:val="es"/>
        </w:rPr>
        <w:t>Interface</w:t>
      </w:r>
      <w:proofErr w:type="gramEnd"/>
      <w:r>
        <w:rPr>
          <w:rFonts w:ascii="Arial" w:hAnsi="Arial" w:cs="Arial"/>
          <w:szCs w:val="18"/>
          <w:lang w:val="es"/>
        </w:rPr>
        <w:t xml:space="preserve"> Media, que engloba los medios de comunicación </w:t>
      </w:r>
      <w:r>
        <w:rPr>
          <w:rFonts w:ascii="Arial" w:hAnsi="Arial" w:cs="Arial"/>
          <w:i/>
          <w:iCs/>
          <w:szCs w:val="18"/>
          <w:lang w:val="es"/>
        </w:rPr>
        <w:t>Radio M</w:t>
      </w:r>
      <w:r>
        <w:rPr>
          <w:rFonts w:ascii="Arial" w:hAnsi="Arial" w:cs="Arial"/>
          <w:szCs w:val="18"/>
          <w:lang w:val="es"/>
        </w:rPr>
        <w:t xml:space="preserve"> y </w:t>
      </w:r>
      <w:proofErr w:type="spellStart"/>
      <w:r>
        <w:rPr>
          <w:rFonts w:ascii="Arial" w:hAnsi="Arial" w:cs="Arial"/>
          <w:i/>
          <w:iCs/>
          <w:szCs w:val="18"/>
          <w:lang w:val="es"/>
        </w:rPr>
        <w:t>Maghreb</w:t>
      </w:r>
      <w:proofErr w:type="spellEnd"/>
      <w:r>
        <w:rPr>
          <w:rFonts w:ascii="Arial" w:hAnsi="Arial" w:cs="Arial"/>
          <w:i/>
          <w:iCs/>
          <w:szCs w:val="18"/>
          <w:lang w:val="es"/>
        </w:rPr>
        <w:t xml:space="preserve"> </w:t>
      </w:r>
      <w:proofErr w:type="spellStart"/>
      <w:r>
        <w:rPr>
          <w:rFonts w:ascii="Arial" w:hAnsi="Arial" w:cs="Arial"/>
          <w:i/>
          <w:iCs/>
          <w:szCs w:val="18"/>
          <w:lang w:val="es"/>
        </w:rPr>
        <w:t>Emergent</w:t>
      </w:r>
      <w:proofErr w:type="spellEnd"/>
      <w:r>
        <w:rPr>
          <w:rFonts w:ascii="Arial" w:hAnsi="Arial" w:cs="Arial"/>
          <w:szCs w:val="18"/>
          <w:lang w:val="es"/>
        </w:rPr>
        <w:t xml:space="preserve">. Ha escrito varios artículos en los que critica abiertamente a las autoridades argelinas, que han respondido hostigándolo y atacando a sus medios de comunicación. Los sitios web de </w:t>
      </w:r>
      <w:r>
        <w:rPr>
          <w:rFonts w:ascii="Arial" w:hAnsi="Arial" w:cs="Arial"/>
          <w:i/>
          <w:iCs/>
          <w:szCs w:val="18"/>
          <w:lang w:val="es"/>
        </w:rPr>
        <w:t>Radio M</w:t>
      </w:r>
      <w:r>
        <w:rPr>
          <w:rFonts w:ascii="Arial" w:hAnsi="Arial" w:cs="Arial"/>
          <w:szCs w:val="18"/>
          <w:lang w:val="es"/>
        </w:rPr>
        <w:t xml:space="preserve"> y </w:t>
      </w:r>
      <w:proofErr w:type="spellStart"/>
      <w:r>
        <w:rPr>
          <w:rFonts w:ascii="Arial" w:hAnsi="Arial" w:cs="Arial"/>
          <w:i/>
          <w:iCs/>
          <w:szCs w:val="18"/>
          <w:lang w:val="es"/>
        </w:rPr>
        <w:t>Maghreb</w:t>
      </w:r>
      <w:proofErr w:type="spellEnd"/>
      <w:r>
        <w:rPr>
          <w:rFonts w:ascii="Arial" w:hAnsi="Arial" w:cs="Arial"/>
          <w:i/>
          <w:iCs/>
          <w:szCs w:val="18"/>
          <w:lang w:val="es"/>
        </w:rPr>
        <w:t xml:space="preserve"> </w:t>
      </w:r>
      <w:proofErr w:type="spellStart"/>
      <w:r>
        <w:rPr>
          <w:rFonts w:ascii="Arial" w:hAnsi="Arial" w:cs="Arial"/>
          <w:i/>
          <w:iCs/>
          <w:szCs w:val="18"/>
          <w:lang w:val="es"/>
        </w:rPr>
        <w:t>Emergent</w:t>
      </w:r>
      <w:proofErr w:type="spellEnd"/>
      <w:r>
        <w:rPr>
          <w:rFonts w:ascii="Arial" w:hAnsi="Arial" w:cs="Arial"/>
          <w:szCs w:val="18"/>
          <w:lang w:val="es"/>
        </w:rPr>
        <w:t xml:space="preserve"> fueron bloqueados en Argelia en 2020. Desde 2021, los servicios de seguridad han citado en varias ocasiones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en el centro de seguridad Antar de Argel, donde ha sido interrogado.</w:t>
      </w:r>
    </w:p>
    <w:p w14:paraId="120D99CE" w14:textId="28BB5D36" w:rsidR="00B81BC5" w:rsidRPr="00CA1758" w:rsidRDefault="0045018E" w:rsidP="00721B48">
      <w:pPr>
        <w:spacing w:after="120" w:line="240" w:lineRule="auto"/>
        <w:jc w:val="both"/>
        <w:rPr>
          <w:rFonts w:ascii="Arial" w:hAnsi="Arial" w:cs="Arial"/>
          <w:szCs w:val="18"/>
          <w:lang w:val="es-ES"/>
        </w:rPr>
      </w:pPr>
      <w:r>
        <w:rPr>
          <w:rFonts w:ascii="Arial" w:hAnsi="Arial" w:cs="Arial"/>
          <w:szCs w:val="18"/>
          <w:lang w:val="es"/>
        </w:rPr>
        <w:t xml:space="preserve">Unos agentes de seguridad vestidos de civil detuvieron a El </w:t>
      </w:r>
      <w:proofErr w:type="spellStart"/>
      <w:r>
        <w:rPr>
          <w:rFonts w:ascii="Arial" w:hAnsi="Arial" w:cs="Arial"/>
          <w:szCs w:val="18"/>
          <w:lang w:val="es"/>
        </w:rPr>
        <w:t>Kadi</w:t>
      </w:r>
      <w:proofErr w:type="spellEnd"/>
      <w:r>
        <w:rPr>
          <w:rFonts w:ascii="Arial" w:hAnsi="Arial" w:cs="Arial"/>
          <w:szCs w:val="18"/>
          <w:lang w:val="es"/>
        </w:rPr>
        <w:t xml:space="preserve"> poco antes de la medianoche del 24 de diciembre de 2022 en su domicilio de </w:t>
      </w:r>
      <w:proofErr w:type="spellStart"/>
      <w:r>
        <w:rPr>
          <w:rFonts w:ascii="Arial" w:hAnsi="Arial" w:cs="Arial"/>
          <w:szCs w:val="18"/>
          <w:lang w:val="es"/>
        </w:rPr>
        <w:t>Zemmouri</w:t>
      </w:r>
      <w:proofErr w:type="spellEnd"/>
      <w:r>
        <w:rPr>
          <w:rFonts w:ascii="Arial" w:hAnsi="Arial" w:cs="Arial"/>
          <w:szCs w:val="18"/>
          <w:lang w:val="es"/>
        </w:rPr>
        <w:t xml:space="preserve">, situado a 40 kilómetros al este de Argel, y ese mismo día lo llevaron esposado a las oficinas de </w:t>
      </w:r>
      <w:r>
        <w:rPr>
          <w:rFonts w:ascii="Arial" w:hAnsi="Arial" w:cs="Arial"/>
          <w:i/>
          <w:iCs/>
          <w:szCs w:val="18"/>
          <w:lang w:val="es"/>
        </w:rPr>
        <w:t>Radio M</w:t>
      </w:r>
      <w:r>
        <w:rPr>
          <w:rFonts w:ascii="Arial" w:hAnsi="Arial" w:cs="Arial"/>
          <w:szCs w:val="18"/>
          <w:lang w:val="es"/>
        </w:rPr>
        <w:t xml:space="preserve"> y </w:t>
      </w:r>
      <w:proofErr w:type="spellStart"/>
      <w:r>
        <w:rPr>
          <w:rFonts w:ascii="Arial" w:hAnsi="Arial" w:cs="Arial"/>
          <w:i/>
          <w:iCs/>
          <w:szCs w:val="18"/>
          <w:lang w:val="es"/>
        </w:rPr>
        <w:t>Maghreb</w:t>
      </w:r>
      <w:proofErr w:type="spellEnd"/>
      <w:r>
        <w:rPr>
          <w:rFonts w:ascii="Arial" w:hAnsi="Arial" w:cs="Arial"/>
          <w:i/>
          <w:iCs/>
          <w:szCs w:val="18"/>
          <w:lang w:val="es"/>
        </w:rPr>
        <w:t xml:space="preserve"> </w:t>
      </w:r>
      <w:proofErr w:type="spellStart"/>
      <w:r>
        <w:rPr>
          <w:rFonts w:ascii="Arial" w:hAnsi="Arial" w:cs="Arial"/>
          <w:i/>
          <w:iCs/>
          <w:szCs w:val="18"/>
          <w:lang w:val="es"/>
        </w:rPr>
        <w:t>Emergent</w:t>
      </w:r>
      <w:proofErr w:type="spellEnd"/>
      <w:r>
        <w:rPr>
          <w:rFonts w:ascii="Arial" w:hAnsi="Arial" w:cs="Arial"/>
          <w:szCs w:val="18"/>
          <w:lang w:val="es"/>
        </w:rPr>
        <w:t xml:space="preserve">, medios de comunicación digitales de su propiedad. Ordenaron al personal que abandonara el lugar, confiscaron los equipos de computación y otros materiales y precintaron las puertas, sin darle ninguna explicación ni informarle de las acusaciones por las que había sido detenido. Los agentes de seguridad retuvieron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durante cinco días y lo interrogaron sobre sus publicaciones. El 29 de diciembre de 2022, un juez de instrucción del Tribunal de Primera Instancia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en Argel, ordenó la reclusión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en la prisión de El </w:t>
      </w:r>
      <w:proofErr w:type="spellStart"/>
      <w:r>
        <w:rPr>
          <w:rFonts w:ascii="Arial" w:hAnsi="Arial" w:cs="Arial"/>
          <w:szCs w:val="18"/>
          <w:lang w:val="es"/>
        </w:rPr>
        <w:t>Harrach</w:t>
      </w:r>
      <w:proofErr w:type="spellEnd"/>
      <w:r>
        <w:rPr>
          <w:rFonts w:ascii="Arial" w:hAnsi="Arial" w:cs="Arial"/>
          <w:szCs w:val="18"/>
          <w:lang w:val="es"/>
        </w:rPr>
        <w:t xml:space="preserve"> después de que un fiscal lo acusara de varios delitos tipificados en el Código Penal, entre ellos recibir fondos “que podrían atentar contra la seguridad del Estado”, recibir fondos del extranjero “con fines de propaganda política” y distribuir o vender propaganda “con el objetivo de atentar contra el interés nacional”, acusación que posteriormente fue retirada. El juez también lo acusó en virtud de la Ordenanza 77-3, de 1977, que exige la autorización previa del gobernador o del ministro del Interior para la recaudación de fondos. El 15 de enero de 2023, un juez del Tribunal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renovó la detención en espera de juicio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sin la presencia de su abogado, vulnerando así su derecho a un juicio justo.</w:t>
      </w:r>
    </w:p>
    <w:p w14:paraId="7E4BD3F8" w14:textId="0C01EC87" w:rsidR="00631B63" w:rsidRPr="00CA1758" w:rsidRDefault="00C2382B" w:rsidP="00721B48">
      <w:pPr>
        <w:spacing w:after="120" w:line="240" w:lineRule="auto"/>
        <w:jc w:val="both"/>
        <w:rPr>
          <w:rFonts w:ascii="Arial" w:hAnsi="Arial" w:cs="Arial"/>
          <w:szCs w:val="18"/>
          <w:lang w:val="es-ES"/>
        </w:rPr>
      </w:pPr>
      <w:r>
        <w:rPr>
          <w:rFonts w:ascii="Arial" w:hAnsi="Arial" w:cs="Arial"/>
          <w:szCs w:val="18"/>
          <w:lang w:val="es"/>
        </w:rPr>
        <w:t xml:space="preserve">Anteriormente, en febrero y marzo de 2022, dos tribunales de Argelia habían procesado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por “terrorismo” y otros cargos por estar en contacto con </w:t>
      </w:r>
      <w:proofErr w:type="spellStart"/>
      <w:r>
        <w:rPr>
          <w:rFonts w:ascii="Arial" w:hAnsi="Arial" w:cs="Arial"/>
          <w:szCs w:val="18"/>
          <w:lang w:val="es"/>
        </w:rPr>
        <w:t>Zaki</w:t>
      </w:r>
      <w:proofErr w:type="spellEnd"/>
      <w:r>
        <w:rPr>
          <w:rFonts w:ascii="Arial" w:hAnsi="Arial" w:cs="Arial"/>
          <w:szCs w:val="18"/>
          <w:lang w:val="es"/>
        </w:rPr>
        <w:t xml:space="preserve"> </w:t>
      </w:r>
      <w:proofErr w:type="spellStart"/>
      <w:r>
        <w:rPr>
          <w:rFonts w:ascii="Arial" w:hAnsi="Arial" w:cs="Arial"/>
          <w:szCs w:val="18"/>
          <w:lang w:val="es"/>
        </w:rPr>
        <w:t>Hannache</w:t>
      </w:r>
      <w:proofErr w:type="spellEnd"/>
      <w:r>
        <w:rPr>
          <w:rFonts w:ascii="Arial" w:hAnsi="Arial" w:cs="Arial"/>
          <w:szCs w:val="18"/>
          <w:lang w:val="es"/>
        </w:rPr>
        <w:t xml:space="preserve"> y Tahar </w:t>
      </w:r>
      <w:proofErr w:type="spellStart"/>
      <w:r>
        <w:rPr>
          <w:rFonts w:ascii="Arial" w:hAnsi="Arial" w:cs="Arial"/>
          <w:szCs w:val="18"/>
          <w:lang w:val="es"/>
        </w:rPr>
        <w:t>Khouas</w:t>
      </w:r>
      <w:proofErr w:type="spellEnd"/>
      <w:r>
        <w:rPr>
          <w:rFonts w:ascii="Arial" w:hAnsi="Arial" w:cs="Arial"/>
          <w:szCs w:val="18"/>
          <w:lang w:val="es"/>
        </w:rPr>
        <w:t xml:space="preserve">, defensores de los derechos humanos que estuvieron detenidos en Argelia durante varias semanas. Se retiraron los cargos contra él, pero, en junio de 2022, fue condenado a seis meses de prisión en un tercer caso por un artículo que había escrito en 2021 sobre el papel de Rachad, partido político no reconocido, en el movimiento de protesta </w:t>
      </w:r>
      <w:proofErr w:type="spellStart"/>
      <w:r>
        <w:rPr>
          <w:rFonts w:ascii="Arial" w:hAnsi="Arial" w:cs="Arial"/>
          <w:szCs w:val="18"/>
          <w:lang w:val="es"/>
        </w:rPr>
        <w:t>Hirak</w:t>
      </w:r>
      <w:proofErr w:type="spellEnd"/>
      <w:r>
        <w:rPr>
          <w:rFonts w:ascii="Arial" w:hAnsi="Arial" w:cs="Arial"/>
          <w:szCs w:val="18"/>
          <w:lang w:val="es"/>
        </w:rPr>
        <w:t>, a raíz de una denuncia presentada en su contra por el ministro de Comunicación.</w:t>
      </w:r>
    </w:p>
    <w:p w14:paraId="134E48EF" w14:textId="77777777" w:rsidR="007B684C" w:rsidRPr="00CA1758" w:rsidRDefault="009028D1" w:rsidP="00721B48">
      <w:pPr>
        <w:spacing w:after="120" w:line="240" w:lineRule="auto"/>
        <w:jc w:val="both"/>
        <w:rPr>
          <w:rFonts w:ascii="Arial" w:hAnsi="Arial" w:cs="Arial"/>
          <w:szCs w:val="18"/>
          <w:lang w:val="es-ES"/>
        </w:rPr>
      </w:pPr>
      <w:r>
        <w:rPr>
          <w:rFonts w:ascii="Arial" w:hAnsi="Arial" w:cs="Arial"/>
          <w:szCs w:val="18"/>
          <w:lang w:val="es"/>
        </w:rPr>
        <w:t xml:space="preserve">El 2 de abril de 2023, el Tribunal de </w:t>
      </w:r>
      <w:proofErr w:type="spellStart"/>
      <w:r>
        <w:rPr>
          <w:rFonts w:ascii="Arial" w:hAnsi="Arial" w:cs="Arial"/>
          <w:szCs w:val="18"/>
          <w:lang w:val="es"/>
        </w:rPr>
        <w:t>Sidi</w:t>
      </w:r>
      <w:proofErr w:type="spellEnd"/>
      <w:r>
        <w:rPr>
          <w:rFonts w:ascii="Arial" w:hAnsi="Arial" w:cs="Arial"/>
          <w:szCs w:val="18"/>
          <w:lang w:val="es"/>
        </w:rPr>
        <w:t xml:space="preserve"> </w:t>
      </w:r>
      <w:proofErr w:type="spellStart"/>
      <w:r>
        <w:rPr>
          <w:rFonts w:ascii="Arial" w:hAnsi="Arial" w:cs="Arial"/>
          <w:szCs w:val="18"/>
          <w:lang w:val="es"/>
        </w:rPr>
        <w:t>Mhamed</w:t>
      </w:r>
      <w:proofErr w:type="spellEnd"/>
      <w:r>
        <w:rPr>
          <w:rFonts w:ascii="Arial" w:hAnsi="Arial" w:cs="Arial"/>
          <w:szCs w:val="18"/>
          <w:lang w:val="es"/>
        </w:rPr>
        <w:t xml:space="preserve">, en Argel, condenó 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a cinco años de prisión, dos de ellos con carácter condicional, y a una multa de 700.000 dinares argelinos (unos 5.150 dólares estadounidenses), y ordenó la disolución de su empresa de comunicación, uno de los últimos medios de comunicación independientes del país. También ordenó que dicha empresa pagara por daños y perjuicios al organismo argelino de regulación audiovisual la cantidad de 10 millones de dinares (unos 73.862 dólares estadounidenses), después de que las autoridades interpusieran una demanda civil contra </w:t>
      </w:r>
      <w:proofErr w:type="gramStart"/>
      <w:r>
        <w:rPr>
          <w:rFonts w:ascii="Arial" w:hAnsi="Arial" w:cs="Arial"/>
          <w:szCs w:val="18"/>
          <w:lang w:val="es"/>
        </w:rPr>
        <w:t>Interface</w:t>
      </w:r>
      <w:proofErr w:type="gramEnd"/>
      <w:r>
        <w:rPr>
          <w:rFonts w:ascii="Arial" w:hAnsi="Arial" w:cs="Arial"/>
          <w:szCs w:val="18"/>
          <w:lang w:val="es"/>
        </w:rPr>
        <w:t xml:space="preserve"> Media por “explotar un servicio de comunicación audiovisual sin autorización”.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fue declarado culpable por invertir en su empresa de comunicación el dinero que le enviaba su hija y ejercer su trabajo de periodista. El 18 de junio, el Tribunal de Apelación de Argel anunció la resolución del proceso de apelación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en la que se confirma la sentencia condenatoria y se aumenta su pena de cinco a siete años, dos de ellos con carácter condicional. El Tribunal de Apelación no reconoció ni dictó medidas de reparación por las violaciones de derechos humanos cometidas contra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desde el momento de su detención.</w:t>
      </w:r>
    </w:p>
    <w:p w14:paraId="0E794C4D" w14:textId="4BEABE25" w:rsidR="00856A6F" w:rsidRPr="00CA1758" w:rsidRDefault="00C124E6" w:rsidP="00721B48">
      <w:pPr>
        <w:spacing w:after="120" w:line="240" w:lineRule="auto"/>
        <w:rPr>
          <w:rFonts w:ascii="Arial" w:hAnsi="Arial" w:cs="Arial"/>
          <w:szCs w:val="18"/>
          <w:lang w:val="es-ES"/>
        </w:rPr>
      </w:pPr>
      <w:r>
        <w:rPr>
          <w:rFonts w:ascii="Arial" w:hAnsi="Arial" w:cs="Arial"/>
          <w:szCs w:val="18"/>
          <w:lang w:val="es"/>
        </w:rPr>
        <w:t xml:space="preserve">El 16 de enero de 2023, varios relatores especiales de la ONU, entre otros, el relator especial sobre el derecho a la libertad de expresión y el relator especial sobre el derecho a la libertad de reunión y de asociación, plantearon sus inquietudes con respecto al arresto y detención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en una </w:t>
      </w:r>
      <w:hyperlink r:id="rId8" w:history="1">
        <w:r>
          <w:rPr>
            <w:rStyle w:val="Hipervnculo"/>
            <w:rFonts w:ascii="Arial" w:hAnsi="Arial" w:cs="Arial"/>
            <w:szCs w:val="18"/>
            <w:lang w:val="es"/>
          </w:rPr>
          <w:t>comunicación</w:t>
        </w:r>
      </w:hyperlink>
      <w:r>
        <w:rPr>
          <w:rFonts w:ascii="Arial" w:hAnsi="Arial" w:cs="Arial"/>
          <w:szCs w:val="18"/>
          <w:lang w:val="es"/>
        </w:rPr>
        <w:t xml:space="preserve"> dirigida al presidente de Argelia. Los relatores expresaron su preocupación sobre la posible violación de las normas sobre juicios justos, la ambigüedad de los fundamentos jurídicos de las acusaciones contra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y el rigor de las penas establecidas en los artículos 95 y 95 bis del Código Penal. También expresaron su profunda preocupación por el uso indebido de medidas de seguridad por las autoridades argelinas para impedir la libre expresión en los medios de comunicación. </w:t>
      </w:r>
      <w:bookmarkStart w:id="3" w:name="_Hlk156300320"/>
      <w:r>
        <w:rPr>
          <w:rFonts w:ascii="Arial" w:hAnsi="Arial" w:cs="Arial"/>
          <w:szCs w:val="18"/>
          <w:lang w:val="es"/>
        </w:rPr>
        <w:t xml:space="preserve">La misión permanente de Argelia en la ONU </w:t>
      </w:r>
      <w:hyperlink r:id="rId9" w:history="1">
        <w:r>
          <w:rPr>
            <w:rStyle w:val="Hipervnculo"/>
            <w:rFonts w:ascii="Arial" w:hAnsi="Arial" w:cs="Arial"/>
            <w:szCs w:val="18"/>
            <w:lang w:val="es"/>
          </w:rPr>
          <w:t>respondió</w:t>
        </w:r>
      </w:hyperlink>
      <w:r>
        <w:rPr>
          <w:rFonts w:ascii="Arial" w:hAnsi="Arial" w:cs="Arial"/>
          <w:szCs w:val="18"/>
          <w:lang w:val="es"/>
        </w:rPr>
        <w:t xml:space="preserve"> el 15 de marzo de 2023, afirmando que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disfrutaba de todos los derechos que la ley le reconoce como acusado, en aplicación de los principios de legalidad, juicio justo y respeto por la dignidad y los derechos humanos, y de conformidad con el artículo 1 del Código de Procedimiento Penal, y que había sido detenido porque era sospechoso de haber cometido los actos antes mencionados y no por su actividad periodística. Agregaron que Argelia se esfuerza por garantizar la compatibilidad de sus leyes internas con el derecho internacional de los derechos humanos y que el artículo 154 de la Constitución dispone que los tratados ratificados por Argelia tienen prioridad sobre las leyes internas.</w:t>
      </w:r>
    </w:p>
    <w:bookmarkEnd w:id="3"/>
    <w:p w14:paraId="3B1D71D4" w14:textId="4F2BACDE" w:rsidR="00D23D90" w:rsidRPr="00CA1758" w:rsidRDefault="00BC780E" w:rsidP="00721B48">
      <w:pPr>
        <w:spacing w:after="120" w:line="240" w:lineRule="auto"/>
        <w:jc w:val="both"/>
        <w:rPr>
          <w:lang w:val="es-ES"/>
        </w:rPr>
      </w:pPr>
      <w:r>
        <w:rPr>
          <w:rFonts w:ascii="Arial" w:hAnsi="Arial" w:cs="Arial"/>
          <w:szCs w:val="18"/>
          <w:lang w:val="es"/>
        </w:rPr>
        <w:t xml:space="preserve">La última condena de </w:t>
      </w:r>
      <w:proofErr w:type="spellStart"/>
      <w:r>
        <w:rPr>
          <w:rFonts w:ascii="Arial" w:hAnsi="Arial" w:cs="Arial"/>
          <w:szCs w:val="18"/>
          <w:lang w:val="es"/>
        </w:rPr>
        <w:t>Ihsane</w:t>
      </w:r>
      <w:proofErr w:type="spellEnd"/>
      <w:r>
        <w:rPr>
          <w:rFonts w:ascii="Arial" w:hAnsi="Arial" w:cs="Arial"/>
          <w:szCs w:val="18"/>
          <w:lang w:val="es"/>
        </w:rPr>
        <w:t xml:space="preserve"> el </w:t>
      </w:r>
      <w:proofErr w:type="spellStart"/>
      <w:r>
        <w:rPr>
          <w:rFonts w:ascii="Arial" w:hAnsi="Arial" w:cs="Arial"/>
          <w:szCs w:val="18"/>
          <w:lang w:val="es"/>
        </w:rPr>
        <w:t>Kadi</w:t>
      </w:r>
      <w:proofErr w:type="spellEnd"/>
      <w:r>
        <w:rPr>
          <w:rFonts w:ascii="Arial" w:hAnsi="Arial" w:cs="Arial"/>
          <w:szCs w:val="18"/>
          <w:lang w:val="es"/>
        </w:rPr>
        <w:t xml:space="preserve"> es un </w:t>
      </w:r>
      <w:hyperlink r:id="rId10" w:history="1">
        <w:r>
          <w:rPr>
            <w:rStyle w:val="Hipervnculo"/>
            <w:rFonts w:ascii="Arial" w:hAnsi="Arial" w:cs="Arial"/>
            <w:szCs w:val="18"/>
            <w:lang w:val="es"/>
          </w:rPr>
          <w:t>ejemplo</w:t>
        </w:r>
      </w:hyperlink>
      <w:r>
        <w:rPr>
          <w:rFonts w:ascii="Arial" w:hAnsi="Arial" w:cs="Arial"/>
          <w:szCs w:val="18"/>
          <w:lang w:val="es"/>
        </w:rPr>
        <w:t xml:space="preserve"> más de la creciente </w:t>
      </w:r>
      <w:hyperlink r:id="rId11" w:history="1">
        <w:r>
          <w:rPr>
            <w:rStyle w:val="Hipervnculo"/>
            <w:rFonts w:ascii="Arial" w:hAnsi="Arial" w:cs="Arial"/>
            <w:szCs w:val="18"/>
            <w:lang w:val="es"/>
          </w:rPr>
          <w:t>represión</w:t>
        </w:r>
      </w:hyperlink>
      <w:r>
        <w:rPr>
          <w:rFonts w:ascii="Arial" w:hAnsi="Arial" w:cs="Arial"/>
          <w:szCs w:val="18"/>
          <w:lang w:val="es"/>
        </w:rPr>
        <w:t xml:space="preserve"> en Argelia. En los últimos dos años, decenas de periodistas, </w:t>
      </w:r>
      <w:proofErr w:type="gramStart"/>
      <w:r>
        <w:rPr>
          <w:rFonts w:ascii="Arial" w:hAnsi="Arial" w:cs="Arial"/>
          <w:szCs w:val="18"/>
          <w:lang w:val="es"/>
        </w:rPr>
        <w:t>blogueros y blogueras</w:t>
      </w:r>
      <w:proofErr w:type="gramEnd"/>
      <w:r>
        <w:rPr>
          <w:rFonts w:ascii="Arial" w:hAnsi="Arial" w:cs="Arial"/>
          <w:szCs w:val="18"/>
          <w:lang w:val="es"/>
        </w:rPr>
        <w:t>, activistas y defensores y defensoras de los derechos humanos han sido objeto de intimidación, hostigamiento y detención arbitraria por cargos relacionados con el ejercicio de sus derechos a la libertad de expresión y de reunión pacífica.</w:t>
      </w:r>
    </w:p>
    <w:p w14:paraId="44F78A38" w14:textId="5A80568A" w:rsidR="005D2C37" w:rsidRPr="00CA175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b/>
          <w:bCs/>
          <w:sz w:val="20"/>
          <w:szCs w:val="20"/>
          <w:lang w:val="es"/>
        </w:rPr>
        <w:t>Árabe</w:t>
      </w:r>
      <w:proofErr w:type="gramEnd"/>
      <w:r>
        <w:rPr>
          <w:rFonts w:ascii="Arial" w:hAnsi="Arial" w:cs="Arial"/>
          <w:b/>
          <w:bCs/>
          <w:sz w:val="20"/>
          <w:szCs w:val="20"/>
          <w:lang w:val="es"/>
        </w:rPr>
        <w:t>, francés o inglés.</w:t>
      </w:r>
    </w:p>
    <w:p w14:paraId="677E723D" w14:textId="77777777" w:rsidR="005D2C37" w:rsidRPr="00CA175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36B746D" w14:textId="64374E34" w:rsidR="005D2C37" w:rsidRPr="00CA175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12 de marzo de 2024</w:t>
      </w:r>
    </w:p>
    <w:p w14:paraId="2C5E5589" w14:textId="77777777" w:rsidR="005D2C37" w:rsidRPr="00CA175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CD61DE1" w14:textId="3898BC92" w:rsidR="00B92AEC" w:rsidRPr="00CA1758" w:rsidRDefault="00407755" w:rsidP="009A56EB">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Ihsane</w:t>
      </w:r>
      <w:proofErr w:type="spellEnd"/>
      <w:r>
        <w:rPr>
          <w:rFonts w:ascii="Arial" w:hAnsi="Arial" w:cs="Arial"/>
          <w:b/>
          <w:bCs/>
          <w:sz w:val="20"/>
          <w:szCs w:val="20"/>
          <w:lang w:val="es"/>
        </w:rPr>
        <w:t xml:space="preserve"> el </w:t>
      </w:r>
      <w:proofErr w:type="spellStart"/>
      <w:r>
        <w:rPr>
          <w:rFonts w:ascii="Arial" w:hAnsi="Arial" w:cs="Arial"/>
          <w:b/>
          <w:bCs/>
          <w:sz w:val="20"/>
          <w:szCs w:val="20"/>
          <w:lang w:val="es"/>
        </w:rPr>
        <w:t>Kadi</w:t>
      </w:r>
      <w:proofErr w:type="spellEnd"/>
      <w:r>
        <w:rPr>
          <w:rFonts w:ascii="Arial" w:hAnsi="Arial" w:cs="Arial"/>
          <w:b/>
          <w:bCs/>
          <w:sz w:val="20"/>
          <w:szCs w:val="20"/>
          <w:lang w:val="es"/>
        </w:rPr>
        <w:t xml:space="preserve"> </w:t>
      </w:r>
      <w:r>
        <w:rPr>
          <w:rFonts w:ascii="Arial" w:hAnsi="Arial" w:cs="Arial"/>
          <w:sz w:val="20"/>
          <w:szCs w:val="20"/>
          <w:lang w:val="es"/>
        </w:rPr>
        <w:t>(masculino)</w:t>
      </w:r>
    </w:p>
    <w:p w14:paraId="5B4233E5" w14:textId="77777777" w:rsidR="007B684C" w:rsidRPr="00CA1758" w:rsidRDefault="00BC7B17" w:rsidP="009A56EB">
      <w:pPr>
        <w:spacing w:after="0" w:line="240" w:lineRule="auto"/>
        <w:rPr>
          <w:rFonts w:ascii="Arial" w:hAnsi="Arial" w:cs="Arial"/>
          <w:sz w:val="20"/>
          <w:szCs w:val="20"/>
          <w:lang w:val="es-ES"/>
        </w:rPr>
      </w:pPr>
      <w:r>
        <w:rPr>
          <w:rFonts w:ascii="Arial" w:hAnsi="Arial" w:cs="Arial"/>
          <w:b/>
          <w:bCs/>
          <w:sz w:val="20"/>
          <w:szCs w:val="20"/>
          <w:lang w:val="es"/>
        </w:rPr>
        <w:t xml:space="preserve">ENLACE A LA AU ANTERIOR: </w:t>
      </w:r>
      <w:hyperlink r:id="rId12" w:history="1">
        <w:r>
          <w:rPr>
            <w:rStyle w:val="Hipervnculo"/>
            <w:lang w:val="es"/>
          </w:rPr>
          <w:t>https://www.amnesty.org/es/documents/mde28/6664/2023/es/</w:t>
        </w:r>
      </w:hyperlink>
    </w:p>
    <w:p w14:paraId="0E93004C" w14:textId="3D50AE79" w:rsidR="00BC7B17" w:rsidRPr="00CA1758" w:rsidRDefault="00BC7B17" w:rsidP="009A56EB">
      <w:pPr>
        <w:spacing w:after="0" w:line="240" w:lineRule="auto"/>
        <w:rPr>
          <w:b/>
          <w:bCs/>
          <w:lang w:val="es-ES"/>
        </w:rPr>
      </w:pPr>
    </w:p>
    <w:sectPr w:rsidR="00BC7B17" w:rsidRPr="00CA1758" w:rsidSect="00721B48">
      <w:headerReference w:type="default" r:id="rId13"/>
      <w:headerReference w:type="first" r:id="rId14"/>
      <w:footnotePr>
        <w:pos w:val="beneathText"/>
      </w:footnotePr>
      <w:endnotePr>
        <w:numFmt w:val="decimal"/>
      </w:endnotePr>
      <w:type w:val="continuous"/>
      <w:pgSz w:w="11900" w:h="16837" w:code="9"/>
      <w:pgMar w:top="1440" w:right="1080" w:bottom="1276"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B5A0" w14:textId="77777777" w:rsidR="00D611CC" w:rsidRDefault="00D611CC">
      <w:r>
        <w:separator/>
      </w:r>
    </w:p>
  </w:endnote>
  <w:endnote w:type="continuationSeparator" w:id="0">
    <w:p w14:paraId="364D2664" w14:textId="77777777" w:rsidR="00D611CC" w:rsidRDefault="00D6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D704" w14:textId="77777777" w:rsidR="00D611CC" w:rsidRDefault="00D611CC">
      <w:r>
        <w:separator/>
      </w:r>
    </w:p>
  </w:footnote>
  <w:footnote w:type="continuationSeparator" w:id="0">
    <w:p w14:paraId="6084243B" w14:textId="77777777" w:rsidR="00D611CC" w:rsidRDefault="00D6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AF5B351" w:rsidR="00355617" w:rsidRPr="00CA1758" w:rsidRDefault="00776482" w:rsidP="0082127B">
    <w:pPr>
      <w:tabs>
        <w:tab w:val="left" w:pos="6060"/>
        <w:tab w:val="right" w:pos="10203"/>
      </w:tabs>
      <w:spacing w:after="0"/>
      <w:rPr>
        <w:sz w:val="16"/>
        <w:szCs w:val="16"/>
        <w:lang w:val="es-ES"/>
      </w:rPr>
    </w:pPr>
    <w:r>
      <w:rPr>
        <w:sz w:val="16"/>
        <w:szCs w:val="16"/>
        <w:lang w:val="es"/>
      </w:rPr>
      <w:t>Tercera AU: 37/23 Índice: MDE 28/7591/2024 Argelia</w:t>
    </w:r>
    <w:r>
      <w:rPr>
        <w:sz w:val="16"/>
        <w:szCs w:val="16"/>
        <w:lang w:val="es"/>
      </w:rPr>
      <w:tab/>
    </w:r>
    <w:r>
      <w:rPr>
        <w:sz w:val="16"/>
        <w:szCs w:val="16"/>
        <w:lang w:val="es"/>
      </w:rPr>
      <w:tab/>
      <w:t>Fecha: 16 de enero de 2024</w:t>
    </w:r>
  </w:p>
  <w:p w14:paraId="76F9B49C" w14:textId="77777777" w:rsidR="007A3AEA" w:rsidRPr="00CA175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B4E7DDD"/>
    <w:multiLevelType w:val="hybridMultilevel"/>
    <w:tmpl w:val="FF12E998"/>
    <w:lvl w:ilvl="0" w:tplc="B8C054FE">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CD039DD"/>
    <w:multiLevelType w:val="hybridMultilevel"/>
    <w:tmpl w:val="44A6187A"/>
    <w:lvl w:ilvl="0" w:tplc="B8C054FE">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E5786"/>
    <w:multiLevelType w:val="hybridMultilevel"/>
    <w:tmpl w:val="DC1CDDC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5E0E1A23"/>
    <w:multiLevelType w:val="hybridMultilevel"/>
    <w:tmpl w:val="8FBE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0B112B"/>
    <w:multiLevelType w:val="multilevel"/>
    <w:tmpl w:val="5B58B218"/>
    <w:numStyleLink w:val="AIBulletList"/>
  </w:abstractNum>
  <w:abstractNum w:abstractNumId="18" w15:restartNumberingAfterBreak="0">
    <w:nsid w:val="631315CB"/>
    <w:multiLevelType w:val="hybridMultilevel"/>
    <w:tmpl w:val="0A887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275421">
    <w:abstractNumId w:val="0"/>
  </w:num>
  <w:num w:numId="2" w16cid:durableId="1695421048">
    <w:abstractNumId w:val="25"/>
  </w:num>
  <w:num w:numId="3" w16cid:durableId="1653559507">
    <w:abstractNumId w:val="24"/>
  </w:num>
  <w:num w:numId="4" w16cid:durableId="641354256">
    <w:abstractNumId w:val="11"/>
  </w:num>
  <w:num w:numId="5" w16cid:durableId="1920630136">
    <w:abstractNumId w:val="3"/>
  </w:num>
  <w:num w:numId="6" w16cid:durableId="955908302">
    <w:abstractNumId w:val="23"/>
  </w:num>
  <w:num w:numId="7" w16cid:durableId="444033973">
    <w:abstractNumId w:val="21"/>
  </w:num>
  <w:num w:numId="8" w16cid:durableId="1248884585">
    <w:abstractNumId w:val="10"/>
  </w:num>
  <w:num w:numId="9" w16cid:durableId="882405916">
    <w:abstractNumId w:val="8"/>
  </w:num>
  <w:num w:numId="10" w16cid:durableId="163177">
    <w:abstractNumId w:val="15"/>
  </w:num>
  <w:num w:numId="11" w16cid:durableId="669526756">
    <w:abstractNumId w:val="5"/>
  </w:num>
  <w:num w:numId="12" w16cid:durableId="326372151">
    <w:abstractNumId w:val="17"/>
  </w:num>
  <w:num w:numId="13" w16cid:durableId="517499314">
    <w:abstractNumId w:val="19"/>
  </w:num>
  <w:num w:numId="14" w16cid:durableId="1464499355">
    <w:abstractNumId w:val="1"/>
  </w:num>
  <w:num w:numId="15" w16cid:durableId="1983731154">
    <w:abstractNumId w:val="22"/>
  </w:num>
  <w:num w:numId="16" w16cid:durableId="1479153045">
    <w:abstractNumId w:val="12"/>
  </w:num>
  <w:num w:numId="17" w16cid:durableId="1915164777">
    <w:abstractNumId w:val="14"/>
  </w:num>
  <w:num w:numId="18" w16cid:durableId="1807315899">
    <w:abstractNumId w:val="4"/>
  </w:num>
  <w:num w:numId="19" w16cid:durableId="572202830">
    <w:abstractNumId w:val="7"/>
  </w:num>
  <w:num w:numId="20" w16cid:durableId="1851792562">
    <w:abstractNumId w:val="20"/>
  </w:num>
  <w:num w:numId="21" w16cid:durableId="861745389">
    <w:abstractNumId w:val="2"/>
  </w:num>
  <w:num w:numId="22" w16cid:durableId="671179129">
    <w:abstractNumId w:val="26"/>
  </w:num>
  <w:num w:numId="23" w16cid:durableId="859704501">
    <w:abstractNumId w:val="13"/>
  </w:num>
  <w:num w:numId="24" w16cid:durableId="685517021">
    <w:abstractNumId w:val="6"/>
  </w:num>
  <w:num w:numId="25" w16cid:durableId="211157243">
    <w:abstractNumId w:val="9"/>
  </w:num>
  <w:num w:numId="26" w16cid:durableId="1600017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622232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71E"/>
    <w:rsid w:val="000058B2"/>
    <w:rsid w:val="00006629"/>
    <w:rsid w:val="00017F7F"/>
    <w:rsid w:val="0002386F"/>
    <w:rsid w:val="0002490D"/>
    <w:rsid w:val="0003010B"/>
    <w:rsid w:val="00030214"/>
    <w:rsid w:val="00040A36"/>
    <w:rsid w:val="00041639"/>
    <w:rsid w:val="0004308B"/>
    <w:rsid w:val="00043880"/>
    <w:rsid w:val="00045843"/>
    <w:rsid w:val="0004786A"/>
    <w:rsid w:val="00050339"/>
    <w:rsid w:val="00054688"/>
    <w:rsid w:val="00054880"/>
    <w:rsid w:val="0005750C"/>
    <w:rsid w:val="00057A7E"/>
    <w:rsid w:val="00067D20"/>
    <w:rsid w:val="000738AA"/>
    <w:rsid w:val="00073FB6"/>
    <w:rsid w:val="000752F8"/>
    <w:rsid w:val="00076037"/>
    <w:rsid w:val="00076589"/>
    <w:rsid w:val="00080285"/>
    <w:rsid w:val="0008204D"/>
    <w:rsid w:val="00082D89"/>
    <w:rsid w:val="00082F7B"/>
    <w:rsid w:val="00083462"/>
    <w:rsid w:val="000842D7"/>
    <w:rsid w:val="00087E2B"/>
    <w:rsid w:val="0009130D"/>
    <w:rsid w:val="00092DFA"/>
    <w:rsid w:val="000935FC"/>
    <w:rsid w:val="0009371A"/>
    <w:rsid w:val="00094632"/>
    <w:rsid w:val="000957C5"/>
    <w:rsid w:val="000A1F14"/>
    <w:rsid w:val="000A5FCB"/>
    <w:rsid w:val="000B02B4"/>
    <w:rsid w:val="000B39A9"/>
    <w:rsid w:val="000B4A38"/>
    <w:rsid w:val="000C237A"/>
    <w:rsid w:val="000C2A0D"/>
    <w:rsid w:val="000C37B5"/>
    <w:rsid w:val="000C5413"/>
    <w:rsid w:val="000C6196"/>
    <w:rsid w:val="000C71B5"/>
    <w:rsid w:val="000D027D"/>
    <w:rsid w:val="000D0ABB"/>
    <w:rsid w:val="000D6D1E"/>
    <w:rsid w:val="000D6ED4"/>
    <w:rsid w:val="000D70C1"/>
    <w:rsid w:val="000D7D25"/>
    <w:rsid w:val="000E0D61"/>
    <w:rsid w:val="000E3234"/>
    <w:rsid w:val="000E435C"/>
    <w:rsid w:val="000E57D4"/>
    <w:rsid w:val="000E5AC0"/>
    <w:rsid w:val="000F1B37"/>
    <w:rsid w:val="000F3012"/>
    <w:rsid w:val="000F4E40"/>
    <w:rsid w:val="000F6405"/>
    <w:rsid w:val="000F6AA4"/>
    <w:rsid w:val="000F701F"/>
    <w:rsid w:val="000F7A42"/>
    <w:rsid w:val="00100FE4"/>
    <w:rsid w:val="00102E1D"/>
    <w:rsid w:val="0010425E"/>
    <w:rsid w:val="00105E28"/>
    <w:rsid w:val="00106837"/>
    <w:rsid w:val="00106D61"/>
    <w:rsid w:val="0011203A"/>
    <w:rsid w:val="00114556"/>
    <w:rsid w:val="001160EE"/>
    <w:rsid w:val="0011612B"/>
    <w:rsid w:val="00117C75"/>
    <w:rsid w:val="0012446A"/>
    <w:rsid w:val="0012544D"/>
    <w:rsid w:val="00127AF5"/>
    <w:rsid w:val="001300C3"/>
    <w:rsid w:val="00130B8A"/>
    <w:rsid w:val="001328C2"/>
    <w:rsid w:val="00132F82"/>
    <w:rsid w:val="00140FC6"/>
    <w:rsid w:val="00143625"/>
    <w:rsid w:val="00144F7C"/>
    <w:rsid w:val="0014617E"/>
    <w:rsid w:val="001518C9"/>
    <w:rsid w:val="001526C3"/>
    <w:rsid w:val="001535D8"/>
    <w:rsid w:val="00155498"/>
    <w:rsid w:val="001561F4"/>
    <w:rsid w:val="0016118D"/>
    <w:rsid w:val="00163052"/>
    <w:rsid w:val="00163077"/>
    <w:rsid w:val="00164260"/>
    <w:rsid w:val="001648DB"/>
    <w:rsid w:val="00172700"/>
    <w:rsid w:val="00174398"/>
    <w:rsid w:val="001763AC"/>
    <w:rsid w:val="00176678"/>
    <w:rsid w:val="001773D1"/>
    <w:rsid w:val="00177779"/>
    <w:rsid w:val="001813C8"/>
    <w:rsid w:val="00181BD9"/>
    <w:rsid w:val="0018298E"/>
    <w:rsid w:val="00185445"/>
    <w:rsid w:val="001905E5"/>
    <w:rsid w:val="0019118D"/>
    <w:rsid w:val="001926A8"/>
    <w:rsid w:val="00194CD5"/>
    <w:rsid w:val="00194DA3"/>
    <w:rsid w:val="001976FF"/>
    <w:rsid w:val="00197C0E"/>
    <w:rsid w:val="001A635D"/>
    <w:rsid w:val="001A6AC9"/>
    <w:rsid w:val="001A75EB"/>
    <w:rsid w:val="001B34D8"/>
    <w:rsid w:val="001B3EF1"/>
    <w:rsid w:val="001B4850"/>
    <w:rsid w:val="001C2ACB"/>
    <w:rsid w:val="001C4FAB"/>
    <w:rsid w:val="001C5547"/>
    <w:rsid w:val="001D131A"/>
    <w:rsid w:val="001D30A3"/>
    <w:rsid w:val="001D4097"/>
    <w:rsid w:val="001D467E"/>
    <w:rsid w:val="001D4A1B"/>
    <w:rsid w:val="001D52A5"/>
    <w:rsid w:val="001D6390"/>
    <w:rsid w:val="001E042A"/>
    <w:rsid w:val="001E1CDC"/>
    <w:rsid w:val="001E2045"/>
    <w:rsid w:val="001E642B"/>
    <w:rsid w:val="00201189"/>
    <w:rsid w:val="002011A9"/>
    <w:rsid w:val="002036C0"/>
    <w:rsid w:val="00206D6E"/>
    <w:rsid w:val="00214FF9"/>
    <w:rsid w:val="00215C3E"/>
    <w:rsid w:val="00215E33"/>
    <w:rsid w:val="002168BF"/>
    <w:rsid w:val="00225A11"/>
    <w:rsid w:val="00230E5B"/>
    <w:rsid w:val="00231568"/>
    <w:rsid w:val="00235A86"/>
    <w:rsid w:val="00237E51"/>
    <w:rsid w:val="00237EF5"/>
    <w:rsid w:val="00240251"/>
    <w:rsid w:val="00240F50"/>
    <w:rsid w:val="00246A65"/>
    <w:rsid w:val="00251240"/>
    <w:rsid w:val="00251C5C"/>
    <w:rsid w:val="002544E4"/>
    <w:rsid w:val="002558D7"/>
    <w:rsid w:val="00256144"/>
    <w:rsid w:val="0025664E"/>
    <w:rsid w:val="00257007"/>
    <w:rsid w:val="0025792F"/>
    <w:rsid w:val="00261A4E"/>
    <w:rsid w:val="00261CC7"/>
    <w:rsid w:val="002661B3"/>
    <w:rsid w:val="002665C3"/>
    <w:rsid w:val="00266B0B"/>
    <w:rsid w:val="00267383"/>
    <w:rsid w:val="002703E7"/>
    <w:rsid w:val="002709C3"/>
    <w:rsid w:val="0027214A"/>
    <w:rsid w:val="002728F5"/>
    <w:rsid w:val="002739C9"/>
    <w:rsid w:val="00273E9A"/>
    <w:rsid w:val="00274AF5"/>
    <w:rsid w:val="00274FAC"/>
    <w:rsid w:val="00276014"/>
    <w:rsid w:val="0028155E"/>
    <w:rsid w:val="00281D13"/>
    <w:rsid w:val="002836EE"/>
    <w:rsid w:val="002969A8"/>
    <w:rsid w:val="002A029E"/>
    <w:rsid w:val="002A2F36"/>
    <w:rsid w:val="002A3CF3"/>
    <w:rsid w:val="002A5267"/>
    <w:rsid w:val="002A7F96"/>
    <w:rsid w:val="002B06F2"/>
    <w:rsid w:val="002B18ED"/>
    <w:rsid w:val="002B2E9B"/>
    <w:rsid w:val="002B38D2"/>
    <w:rsid w:val="002C06A6"/>
    <w:rsid w:val="002C298B"/>
    <w:rsid w:val="002C3204"/>
    <w:rsid w:val="002C411A"/>
    <w:rsid w:val="002C5567"/>
    <w:rsid w:val="002C5BF2"/>
    <w:rsid w:val="002C5FE4"/>
    <w:rsid w:val="002C7F1F"/>
    <w:rsid w:val="002D2E0F"/>
    <w:rsid w:val="002D3EC8"/>
    <w:rsid w:val="002D48CD"/>
    <w:rsid w:val="002D53B9"/>
    <w:rsid w:val="002D5454"/>
    <w:rsid w:val="002E35D4"/>
    <w:rsid w:val="002E3658"/>
    <w:rsid w:val="002E7B6D"/>
    <w:rsid w:val="002F0504"/>
    <w:rsid w:val="002F0607"/>
    <w:rsid w:val="002F180A"/>
    <w:rsid w:val="002F3C80"/>
    <w:rsid w:val="002F4ED9"/>
    <w:rsid w:val="002F68BB"/>
    <w:rsid w:val="00300643"/>
    <w:rsid w:val="003037C2"/>
    <w:rsid w:val="0030437F"/>
    <w:rsid w:val="003075DE"/>
    <w:rsid w:val="00310773"/>
    <w:rsid w:val="0031230A"/>
    <w:rsid w:val="00313E8B"/>
    <w:rsid w:val="0031669A"/>
    <w:rsid w:val="00317379"/>
    <w:rsid w:val="003200C5"/>
    <w:rsid w:val="00320461"/>
    <w:rsid w:val="00322C16"/>
    <w:rsid w:val="003249D1"/>
    <w:rsid w:val="00330338"/>
    <w:rsid w:val="00330E8D"/>
    <w:rsid w:val="00332089"/>
    <w:rsid w:val="00333338"/>
    <w:rsid w:val="0033624A"/>
    <w:rsid w:val="003373A5"/>
    <w:rsid w:val="00337826"/>
    <w:rsid w:val="0034128A"/>
    <w:rsid w:val="00342B7A"/>
    <w:rsid w:val="0034324D"/>
    <w:rsid w:val="00346095"/>
    <w:rsid w:val="00346942"/>
    <w:rsid w:val="0035329F"/>
    <w:rsid w:val="00355617"/>
    <w:rsid w:val="003632AF"/>
    <w:rsid w:val="00366ECF"/>
    <w:rsid w:val="00374AB0"/>
    <w:rsid w:val="003756D8"/>
    <w:rsid w:val="00376EF4"/>
    <w:rsid w:val="0038508B"/>
    <w:rsid w:val="00386BA8"/>
    <w:rsid w:val="00386BD0"/>
    <w:rsid w:val="0038713A"/>
    <w:rsid w:val="003904F0"/>
    <w:rsid w:val="00394047"/>
    <w:rsid w:val="003975C9"/>
    <w:rsid w:val="003A1877"/>
    <w:rsid w:val="003A2108"/>
    <w:rsid w:val="003A41DF"/>
    <w:rsid w:val="003A4FCD"/>
    <w:rsid w:val="003A5900"/>
    <w:rsid w:val="003B11A7"/>
    <w:rsid w:val="003B1919"/>
    <w:rsid w:val="003B2332"/>
    <w:rsid w:val="003B294A"/>
    <w:rsid w:val="003B50C4"/>
    <w:rsid w:val="003C3210"/>
    <w:rsid w:val="003C3F7F"/>
    <w:rsid w:val="003C5EEA"/>
    <w:rsid w:val="003C755F"/>
    <w:rsid w:val="003C77B2"/>
    <w:rsid w:val="003C7CB6"/>
    <w:rsid w:val="003D0873"/>
    <w:rsid w:val="003D77CF"/>
    <w:rsid w:val="003E187F"/>
    <w:rsid w:val="003E400C"/>
    <w:rsid w:val="003E663F"/>
    <w:rsid w:val="003F0165"/>
    <w:rsid w:val="003F11BE"/>
    <w:rsid w:val="003F3D5D"/>
    <w:rsid w:val="003F5323"/>
    <w:rsid w:val="003F6390"/>
    <w:rsid w:val="004031CB"/>
    <w:rsid w:val="00404249"/>
    <w:rsid w:val="0040491E"/>
    <w:rsid w:val="00405635"/>
    <w:rsid w:val="00407755"/>
    <w:rsid w:val="004118ED"/>
    <w:rsid w:val="004137F4"/>
    <w:rsid w:val="00413C82"/>
    <w:rsid w:val="00422042"/>
    <w:rsid w:val="004220A8"/>
    <w:rsid w:val="0042210F"/>
    <w:rsid w:val="00422563"/>
    <w:rsid w:val="00423553"/>
    <w:rsid w:val="004305C5"/>
    <w:rsid w:val="00431AB2"/>
    <w:rsid w:val="004334BF"/>
    <w:rsid w:val="00434902"/>
    <w:rsid w:val="00435338"/>
    <w:rsid w:val="00435733"/>
    <w:rsid w:val="00436EFB"/>
    <w:rsid w:val="004408A1"/>
    <w:rsid w:val="00442E5B"/>
    <w:rsid w:val="00442F1B"/>
    <w:rsid w:val="0044379B"/>
    <w:rsid w:val="00445152"/>
    <w:rsid w:val="00445D50"/>
    <w:rsid w:val="00447074"/>
    <w:rsid w:val="0045018E"/>
    <w:rsid w:val="00453538"/>
    <w:rsid w:val="00456ECD"/>
    <w:rsid w:val="00457D0E"/>
    <w:rsid w:val="004603A2"/>
    <w:rsid w:val="004615B8"/>
    <w:rsid w:val="00461944"/>
    <w:rsid w:val="004663E1"/>
    <w:rsid w:val="004706D1"/>
    <w:rsid w:val="00472686"/>
    <w:rsid w:val="0047338C"/>
    <w:rsid w:val="004755F9"/>
    <w:rsid w:val="00485227"/>
    <w:rsid w:val="00486088"/>
    <w:rsid w:val="0048649B"/>
    <w:rsid w:val="00492181"/>
    <w:rsid w:val="0049268C"/>
    <w:rsid w:val="00492FA8"/>
    <w:rsid w:val="004A1BDD"/>
    <w:rsid w:val="004A67D9"/>
    <w:rsid w:val="004B0C5F"/>
    <w:rsid w:val="004B1811"/>
    <w:rsid w:val="004B1E15"/>
    <w:rsid w:val="004B2367"/>
    <w:rsid w:val="004B381D"/>
    <w:rsid w:val="004B616E"/>
    <w:rsid w:val="004C265C"/>
    <w:rsid w:val="004C71F5"/>
    <w:rsid w:val="004C7A66"/>
    <w:rsid w:val="004D226C"/>
    <w:rsid w:val="004D32D5"/>
    <w:rsid w:val="004D3BF0"/>
    <w:rsid w:val="004D41DC"/>
    <w:rsid w:val="004E23E3"/>
    <w:rsid w:val="004E3DEC"/>
    <w:rsid w:val="004E5AFE"/>
    <w:rsid w:val="004F0744"/>
    <w:rsid w:val="004F15CC"/>
    <w:rsid w:val="00500E20"/>
    <w:rsid w:val="0050265F"/>
    <w:rsid w:val="00502BE5"/>
    <w:rsid w:val="005032D4"/>
    <w:rsid w:val="005037DE"/>
    <w:rsid w:val="00504FBC"/>
    <w:rsid w:val="005101B5"/>
    <w:rsid w:val="00511DD3"/>
    <w:rsid w:val="005178C6"/>
    <w:rsid w:val="00517E88"/>
    <w:rsid w:val="0052075B"/>
    <w:rsid w:val="00520B41"/>
    <w:rsid w:val="00521474"/>
    <w:rsid w:val="005225AC"/>
    <w:rsid w:val="00525D94"/>
    <w:rsid w:val="00535197"/>
    <w:rsid w:val="005363CA"/>
    <w:rsid w:val="00537C58"/>
    <w:rsid w:val="00537D43"/>
    <w:rsid w:val="00541E68"/>
    <w:rsid w:val="00541E6F"/>
    <w:rsid w:val="00542F58"/>
    <w:rsid w:val="00543757"/>
    <w:rsid w:val="00545423"/>
    <w:rsid w:val="005461FB"/>
    <w:rsid w:val="00547E71"/>
    <w:rsid w:val="00550382"/>
    <w:rsid w:val="00550808"/>
    <w:rsid w:val="00550AEA"/>
    <w:rsid w:val="00555EED"/>
    <w:rsid w:val="00556F22"/>
    <w:rsid w:val="005602E0"/>
    <w:rsid w:val="00561320"/>
    <w:rsid w:val="00565462"/>
    <w:rsid w:val="005668D0"/>
    <w:rsid w:val="00567F34"/>
    <w:rsid w:val="00571B69"/>
    <w:rsid w:val="00572124"/>
    <w:rsid w:val="00572CCD"/>
    <w:rsid w:val="005735C0"/>
    <w:rsid w:val="0057440A"/>
    <w:rsid w:val="005746BA"/>
    <w:rsid w:val="0057484A"/>
    <w:rsid w:val="00581A12"/>
    <w:rsid w:val="00582824"/>
    <w:rsid w:val="005847D6"/>
    <w:rsid w:val="00592C3E"/>
    <w:rsid w:val="005932C2"/>
    <w:rsid w:val="00596449"/>
    <w:rsid w:val="005A21D5"/>
    <w:rsid w:val="005A3E28"/>
    <w:rsid w:val="005A67B8"/>
    <w:rsid w:val="005A7173"/>
    <w:rsid w:val="005A71AD"/>
    <w:rsid w:val="005A7F1B"/>
    <w:rsid w:val="005B227F"/>
    <w:rsid w:val="005B49E4"/>
    <w:rsid w:val="005B59ED"/>
    <w:rsid w:val="005B5C5A"/>
    <w:rsid w:val="005C27C4"/>
    <w:rsid w:val="005C396D"/>
    <w:rsid w:val="005C751F"/>
    <w:rsid w:val="005C753D"/>
    <w:rsid w:val="005C7A03"/>
    <w:rsid w:val="005D142B"/>
    <w:rsid w:val="005D14AA"/>
    <w:rsid w:val="005D2C37"/>
    <w:rsid w:val="005D2FCB"/>
    <w:rsid w:val="005D3205"/>
    <w:rsid w:val="005D5C49"/>
    <w:rsid w:val="005D7287"/>
    <w:rsid w:val="005D7D1C"/>
    <w:rsid w:val="005E37AE"/>
    <w:rsid w:val="005E608F"/>
    <w:rsid w:val="005F0355"/>
    <w:rsid w:val="005F3864"/>
    <w:rsid w:val="005F5E43"/>
    <w:rsid w:val="00600EB9"/>
    <w:rsid w:val="00601FA4"/>
    <w:rsid w:val="006039D3"/>
    <w:rsid w:val="006042A8"/>
    <w:rsid w:val="00606108"/>
    <w:rsid w:val="006201FC"/>
    <w:rsid w:val="00620ADD"/>
    <w:rsid w:val="006236E3"/>
    <w:rsid w:val="006257C8"/>
    <w:rsid w:val="00630D21"/>
    <w:rsid w:val="00631421"/>
    <w:rsid w:val="00631B63"/>
    <w:rsid w:val="0063582B"/>
    <w:rsid w:val="00635AEF"/>
    <w:rsid w:val="0063758C"/>
    <w:rsid w:val="00640EF2"/>
    <w:rsid w:val="0064145B"/>
    <w:rsid w:val="00641FA0"/>
    <w:rsid w:val="00645449"/>
    <w:rsid w:val="0064718C"/>
    <w:rsid w:val="0065049B"/>
    <w:rsid w:val="00650D73"/>
    <w:rsid w:val="006558EE"/>
    <w:rsid w:val="00657231"/>
    <w:rsid w:val="006661D8"/>
    <w:rsid w:val="00667FBC"/>
    <w:rsid w:val="00675174"/>
    <w:rsid w:val="00681468"/>
    <w:rsid w:val="00684920"/>
    <w:rsid w:val="00686C55"/>
    <w:rsid w:val="00687F6B"/>
    <w:rsid w:val="0069571A"/>
    <w:rsid w:val="0069672A"/>
    <w:rsid w:val="006968AF"/>
    <w:rsid w:val="006A0BB9"/>
    <w:rsid w:val="006A3515"/>
    <w:rsid w:val="006B12FA"/>
    <w:rsid w:val="006B2136"/>
    <w:rsid w:val="006B391F"/>
    <w:rsid w:val="006B461E"/>
    <w:rsid w:val="006B4AB3"/>
    <w:rsid w:val="006C05BA"/>
    <w:rsid w:val="006C182B"/>
    <w:rsid w:val="006C3C21"/>
    <w:rsid w:val="006C7910"/>
    <w:rsid w:val="006C7A31"/>
    <w:rsid w:val="006D6F46"/>
    <w:rsid w:val="006E5AA4"/>
    <w:rsid w:val="006E7B95"/>
    <w:rsid w:val="006F3380"/>
    <w:rsid w:val="006F4C28"/>
    <w:rsid w:val="006F58A8"/>
    <w:rsid w:val="006F6D18"/>
    <w:rsid w:val="00700928"/>
    <w:rsid w:val="0070364E"/>
    <w:rsid w:val="00703EC1"/>
    <w:rsid w:val="007071FB"/>
    <w:rsid w:val="007073BA"/>
    <w:rsid w:val="007104B5"/>
    <w:rsid w:val="007104E8"/>
    <w:rsid w:val="00710CAE"/>
    <w:rsid w:val="00710E9D"/>
    <w:rsid w:val="007156FC"/>
    <w:rsid w:val="00716706"/>
    <w:rsid w:val="00716942"/>
    <w:rsid w:val="00716BE9"/>
    <w:rsid w:val="00716E96"/>
    <w:rsid w:val="007173E9"/>
    <w:rsid w:val="00721B48"/>
    <w:rsid w:val="00727519"/>
    <w:rsid w:val="00727CA7"/>
    <w:rsid w:val="0073154E"/>
    <w:rsid w:val="00731B40"/>
    <w:rsid w:val="007325EC"/>
    <w:rsid w:val="00732FA4"/>
    <w:rsid w:val="007337C2"/>
    <w:rsid w:val="00733A47"/>
    <w:rsid w:val="0073431C"/>
    <w:rsid w:val="00737144"/>
    <w:rsid w:val="00753A03"/>
    <w:rsid w:val="0075511A"/>
    <w:rsid w:val="00757AA7"/>
    <w:rsid w:val="007656E7"/>
    <w:rsid w:val="007666A4"/>
    <w:rsid w:val="00773365"/>
    <w:rsid w:val="00776482"/>
    <w:rsid w:val="0077661C"/>
    <w:rsid w:val="00781624"/>
    <w:rsid w:val="00781E3C"/>
    <w:rsid w:val="00783233"/>
    <w:rsid w:val="0078380A"/>
    <w:rsid w:val="0078422E"/>
    <w:rsid w:val="0078434B"/>
    <w:rsid w:val="007858BA"/>
    <w:rsid w:val="00787641"/>
    <w:rsid w:val="007926BD"/>
    <w:rsid w:val="00792C23"/>
    <w:rsid w:val="00793FBE"/>
    <w:rsid w:val="00797364"/>
    <w:rsid w:val="0079745E"/>
    <w:rsid w:val="007A0F1C"/>
    <w:rsid w:val="007A27A5"/>
    <w:rsid w:val="007A2ABA"/>
    <w:rsid w:val="007A3696"/>
    <w:rsid w:val="007A3AEA"/>
    <w:rsid w:val="007A6C4E"/>
    <w:rsid w:val="007A7F97"/>
    <w:rsid w:val="007B28D2"/>
    <w:rsid w:val="007B4F3E"/>
    <w:rsid w:val="007B684C"/>
    <w:rsid w:val="007B7197"/>
    <w:rsid w:val="007C02FA"/>
    <w:rsid w:val="007C38F0"/>
    <w:rsid w:val="007C5597"/>
    <w:rsid w:val="007C6CD0"/>
    <w:rsid w:val="007D3BFF"/>
    <w:rsid w:val="007D6542"/>
    <w:rsid w:val="007E0D77"/>
    <w:rsid w:val="007E0F1E"/>
    <w:rsid w:val="007E1E2D"/>
    <w:rsid w:val="007E3FD1"/>
    <w:rsid w:val="007E55E3"/>
    <w:rsid w:val="007E5B55"/>
    <w:rsid w:val="007E647B"/>
    <w:rsid w:val="007E7025"/>
    <w:rsid w:val="007E7717"/>
    <w:rsid w:val="007F21B9"/>
    <w:rsid w:val="007F3A72"/>
    <w:rsid w:val="007F5079"/>
    <w:rsid w:val="007F72FF"/>
    <w:rsid w:val="007F7B5E"/>
    <w:rsid w:val="007F7E15"/>
    <w:rsid w:val="00804008"/>
    <w:rsid w:val="008056E3"/>
    <w:rsid w:val="008056E9"/>
    <w:rsid w:val="0081049F"/>
    <w:rsid w:val="00810F1B"/>
    <w:rsid w:val="008133F4"/>
    <w:rsid w:val="00814632"/>
    <w:rsid w:val="0081597C"/>
    <w:rsid w:val="00815F74"/>
    <w:rsid w:val="0082127B"/>
    <w:rsid w:val="0082432E"/>
    <w:rsid w:val="00827A40"/>
    <w:rsid w:val="00830EA6"/>
    <w:rsid w:val="0083573E"/>
    <w:rsid w:val="008409B9"/>
    <w:rsid w:val="00843C8D"/>
    <w:rsid w:val="00844F48"/>
    <w:rsid w:val="008455C2"/>
    <w:rsid w:val="00846E45"/>
    <w:rsid w:val="00847383"/>
    <w:rsid w:val="008517B0"/>
    <w:rsid w:val="00852895"/>
    <w:rsid w:val="00854B4D"/>
    <w:rsid w:val="00854FF8"/>
    <w:rsid w:val="008555B9"/>
    <w:rsid w:val="00856A6F"/>
    <w:rsid w:val="00864035"/>
    <w:rsid w:val="00864FC2"/>
    <w:rsid w:val="00865050"/>
    <w:rsid w:val="00866873"/>
    <w:rsid w:val="008763F4"/>
    <w:rsid w:val="008806FB"/>
    <w:rsid w:val="0088216A"/>
    <w:rsid w:val="008849EA"/>
    <w:rsid w:val="00884B1B"/>
    <w:rsid w:val="00891FE8"/>
    <w:rsid w:val="00894949"/>
    <w:rsid w:val="008A08DA"/>
    <w:rsid w:val="008A0DC3"/>
    <w:rsid w:val="008A3ECA"/>
    <w:rsid w:val="008A5A0C"/>
    <w:rsid w:val="008B2696"/>
    <w:rsid w:val="008B3FB9"/>
    <w:rsid w:val="008C190D"/>
    <w:rsid w:val="008C406D"/>
    <w:rsid w:val="008D16ED"/>
    <w:rsid w:val="008D23F9"/>
    <w:rsid w:val="008D2A6B"/>
    <w:rsid w:val="008D49A5"/>
    <w:rsid w:val="008E0B66"/>
    <w:rsid w:val="008E172D"/>
    <w:rsid w:val="008E3F9D"/>
    <w:rsid w:val="008E77E9"/>
    <w:rsid w:val="008F059D"/>
    <w:rsid w:val="008F134C"/>
    <w:rsid w:val="008F43DC"/>
    <w:rsid w:val="009019ED"/>
    <w:rsid w:val="00902730"/>
    <w:rsid w:val="009028D1"/>
    <w:rsid w:val="00903934"/>
    <w:rsid w:val="00906C9F"/>
    <w:rsid w:val="00907DC8"/>
    <w:rsid w:val="00913A21"/>
    <w:rsid w:val="00921577"/>
    <w:rsid w:val="009239CC"/>
    <w:rsid w:val="00923A3E"/>
    <w:rsid w:val="009259E1"/>
    <w:rsid w:val="009349E1"/>
    <w:rsid w:val="009354C3"/>
    <w:rsid w:val="00935639"/>
    <w:rsid w:val="00942C1B"/>
    <w:rsid w:val="00942F60"/>
    <w:rsid w:val="0095188F"/>
    <w:rsid w:val="00951DA6"/>
    <w:rsid w:val="009550A0"/>
    <w:rsid w:val="00960C64"/>
    <w:rsid w:val="00963D4F"/>
    <w:rsid w:val="00965126"/>
    <w:rsid w:val="0096671D"/>
    <w:rsid w:val="0097218E"/>
    <w:rsid w:val="00974EF4"/>
    <w:rsid w:val="00974F63"/>
    <w:rsid w:val="00980425"/>
    <w:rsid w:val="00981360"/>
    <w:rsid w:val="009838CE"/>
    <w:rsid w:val="009850B9"/>
    <w:rsid w:val="00990E17"/>
    <w:rsid w:val="00990E6D"/>
    <w:rsid w:val="009914FF"/>
    <w:rsid w:val="00991539"/>
    <w:rsid w:val="00991C69"/>
    <w:rsid w:val="00991FC9"/>
    <w:rsid w:val="009923C0"/>
    <w:rsid w:val="0099336E"/>
    <w:rsid w:val="00993A51"/>
    <w:rsid w:val="009A404B"/>
    <w:rsid w:val="009A49A7"/>
    <w:rsid w:val="009A521D"/>
    <w:rsid w:val="009A56EB"/>
    <w:rsid w:val="009B154C"/>
    <w:rsid w:val="009B386C"/>
    <w:rsid w:val="009B6681"/>
    <w:rsid w:val="009B7119"/>
    <w:rsid w:val="009B78FE"/>
    <w:rsid w:val="009C2458"/>
    <w:rsid w:val="009C3521"/>
    <w:rsid w:val="009C4461"/>
    <w:rsid w:val="009C6B5A"/>
    <w:rsid w:val="009D4B02"/>
    <w:rsid w:val="009D7A81"/>
    <w:rsid w:val="009E097D"/>
    <w:rsid w:val="009E14DF"/>
    <w:rsid w:val="009E28C6"/>
    <w:rsid w:val="009E3A88"/>
    <w:rsid w:val="009E4F0A"/>
    <w:rsid w:val="009E5D37"/>
    <w:rsid w:val="009E7E6E"/>
    <w:rsid w:val="009F251D"/>
    <w:rsid w:val="00A02049"/>
    <w:rsid w:val="00A05ED8"/>
    <w:rsid w:val="00A07E67"/>
    <w:rsid w:val="00A10D32"/>
    <w:rsid w:val="00A14BAB"/>
    <w:rsid w:val="00A14DEE"/>
    <w:rsid w:val="00A248B7"/>
    <w:rsid w:val="00A268D5"/>
    <w:rsid w:val="00A31F72"/>
    <w:rsid w:val="00A373AF"/>
    <w:rsid w:val="00A375E5"/>
    <w:rsid w:val="00A41FC6"/>
    <w:rsid w:val="00A44B1B"/>
    <w:rsid w:val="00A4583A"/>
    <w:rsid w:val="00A45C7F"/>
    <w:rsid w:val="00A471C5"/>
    <w:rsid w:val="00A50658"/>
    <w:rsid w:val="00A508BE"/>
    <w:rsid w:val="00A537DF"/>
    <w:rsid w:val="00A55D38"/>
    <w:rsid w:val="00A568C0"/>
    <w:rsid w:val="00A573B0"/>
    <w:rsid w:val="00A63AFA"/>
    <w:rsid w:val="00A6493C"/>
    <w:rsid w:val="00A6533D"/>
    <w:rsid w:val="00A6768B"/>
    <w:rsid w:val="00A70902"/>
    <w:rsid w:val="00A70D9D"/>
    <w:rsid w:val="00A7548F"/>
    <w:rsid w:val="00A76FED"/>
    <w:rsid w:val="00A81673"/>
    <w:rsid w:val="00A83B77"/>
    <w:rsid w:val="00A8437A"/>
    <w:rsid w:val="00A90EA6"/>
    <w:rsid w:val="00A93A8E"/>
    <w:rsid w:val="00A95BD1"/>
    <w:rsid w:val="00A9625D"/>
    <w:rsid w:val="00AA1A4C"/>
    <w:rsid w:val="00AA5EC7"/>
    <w:rsid w:val="00AB2523"/>
    <w:rsid w:val="00AB5110"/>
    <w:rsid w:val="00AB5744"/>
    <w:rsid w:val="00AB5C6E"/>
    <w:rsid w:val="00AB7E5D"/>
    <w:rsid w:val="00AC15B7"/>
    <w:rsid w:val="00AC367F"/>
    <w:rsid w:val="00AC4F34"/>
    <w:rsid w:val="00AD5F7B"/>
    <w:rsid w:val="00AD601F"/>
    <w:rsid w:val="00AD64C1"/>
    <w:rsid w:val="00AE405E"/>
    <w:rsid w:val="00AE4214"/>
    <w:rsid w:val="00AE5714"/>
    <w:rsid w:val="00AF0FCD"/>
    <w:rsid w:val="00AF25D7"/>
    <w:rsid w:val="00AF4012"/>
    <w:rsid w:val="00AF5FF0"/>
    <w:rsid w:val="00B01193"/>
    <w:rsid w:val="00B036BE"/>
    <w:rsid w:val="00B07F8B"/>
    <w:rsid w:val="00B11424"/>
    <w:rsid w:val="00B16987"/>
    <w:rsid w:val="00B169FE"/>
    <w:rsid w:val="00B16EBE"/>
    <w:rsid w:val="00B206A8"/>
    <w:rsid w:val="00B21500"/>
    <w:rsid w:val="00B268B7"/>
    <w:rsid w:val="00B27341"/>
    <w:rsid w:val="00B34956"/>
    <w:rsid w:val="00B37B56"/>
    <w:rsid w:val="00B408D4"/>
    <w:rsid w:val="00B40A5C"/>
    <w:rsid w:val="00B42511"/>
    <w:rsid w:val="00B473EF"/>
    <w:rsid w:val="00B52B01"/>
    <w:rsid w:val="00B55047"/>
    <w:rsid w:val="00B55825"/>
    <w:rsid w:val="00B6504E"/>
    <w:rsid w:val="00B6690B"/>
    <w:rsid w:val="00B7124E"/>
    <w:rsid w:val="00B73F6C"/>
    <w:rsid w:val="00B7545C"/>
    <w:rsid w:val="00B75C28"/>
    <w:rsid w:val="00B76455"/>
    <w:rsid w:val="00B77C5A"/>
    <w:rsid w:val="00B81BC5"/>
    <w:rsid w:val="00B852DF"/>
    <w:rsid w:val="00B92AEC"/>
    <w:rsid w:val="00B957E6"/>
    <w:rsid w:val="00B97248"/>
    <w:rsid w:val="00B97626"/>
    <w:rsid w:val="00BA0E81"/>
    <w:rsid w:val="00BA2750"/>
    <w:rsid w:val="00BA3327"/>
    <w:rsid w:val="00BA6913"/>
    <w:rsid w:val="00BB0B3B"/>
    <w:rsid w:val="00BB4232"/>
    <w:rsid w:val="00BB4575"/>
    <w:rsid w:val="00BB48D5"/>
    <w:rsid w:val="00BC161A"/>
    <w:rsid w:val="00BC1DD1"/>
    <w:rsid w:val="00BC3051"/>
    <w:rsid w:val="00BC7111"/>
    <w:rsid w:val="00BC780E"/>
    <w:rsid w:val="00BC7B17"/>
    <w:rsid w:val="00BD0B43"/>
    <w:rsid w:val="00BE0D92"/>
    <w:rsid w:val="00BE0DA5"/>
    <w:rsid w:val="00BE1E58"/>
    <w:rsid w:val="00BE4685"/>
    <w:rsid w:val="00BE6035"/>
    <w:rsid w:val="00BE64A7"/>
    <w:rsid w:val="00BE7E45"/>
    <w:rsid w:val="00BF099E"/>
    <w:rsid w:val="00BF3FC0"/>
    <w:rsid w:val="00BF4778"/>
    <w:rsid w:val="00BF5687"/>
    <w:rsid w:val="00BF573D"/>
    <w:rsid w:val="00BF7136"/>
    <w:rsid w:val="00BF76FF"/>
    <w:rsid w:val="00C027EC"/>
    <w:rsid w:val="00C03345"/>
    <w:rsid w:val="00C0524B"/>
    <w:rsid w:val="00C124E6"/>
    <w:rsid w:val="00C137FB"/>
    <w:rsid w:val="00C15C35"/>
    <w:rsid w:val="00C162AD"/>
    <w:rsid w:val="00C17D6F"/>
    <w:rsid w:val="00C216BF"/>
    <w:rsid w:val="00C23065"/>
    <w:rsid w:val="00C2382B"/>
    <w:rsid w:val="00C32628"/>
    <w:rsid w:val="00C33EC9"/>
    <w:rsid w:val="00C34148"/>
    <w:rsid w:val="00C359CF"/>
    <w:rsid w:val="00C360C6"/>
    <w:rsid w:val="00C36ABC"/>
    <w:rsid w:val="00C370BB"/>
    <w:rsid w:val="00C415B8"/>
    <w:rsid w:val="00C43CD7"/>
    <w:rsid w:val="00C45E95"/>
    <w:rsid w:val="00C460DB"/>
    <w:rsid w:val="00C46F7F"/>
    <w:rsid w:val="00C47712"/>
    <w:rsid w:val="00C50CEC"/>
    <w:rsid w:val="00C50EA7"/>
    <w:rsid w:val="00C51A6E"/>
    <w:rsid w:val="00C520AC"/>
    <w:rsid w:val="00C53116"/>
    <w:rsid w:val="00C532B2"/>
    <w:rsid w:val="00C538D1"/>
    <w:rsid w:val="00C55340"/>
    <w:rsid w:val="00C55987"/>
    <w:rsid w:val="00C56B63"/>
    <w:rsid w:val="00C607FB"/>
    <w:rsid w:val="00C6374A"/>
    <w:rsid w:val="00C641AD"/>
    <w:rsid w:val="00C64AA3"/>
    <w:rsid w:val="00C64D5C"/>
    <w:rsid w:val="00C66449"/>
    <w:rsid w:val="00C67757"/>
    <w:rsid w:val="00C67D2F"/>
    <w:rsid w:val="00C758A0"/>
    <w:rsid w:val="00C76EE0"/>
    <w:rsid w:val="00C771CD"/>
    <w:rsid w:val="00C80580"/>
    <w:rsid w:val="00C8068E"/>
    <w:rsid w:val="00C8330C"/>
    <w:rsid w:val="00C85BFA"/>
    <w:rsid w:val="00C85EFE"/>
    <w:rsid w:val="00C90B22"/>
    <w:rsid w:val="00C9267B"/>
    <w:rsid w:val="00C934DE"/>
    <w:rsid w:val="00C93CB2"/>
    <w:rsid w:val="00C95580"/>
    <w:rsid w:val="00CA13A3"/>
    <w:rsid w:val="00CA1758"/>
    <w:rsid w:val="00CA1F66"/>
    <w:rsid w:val="00CA3305"/>
    <w:rsid w:val="00CA51AF"/>
    <w:rsid w:val="00CA5CB1"/>
    <w:rsid w:val="00CA78AE"/>
    <w:rsid w:val="00CB456D"/>
    <w:rsid w:val="00CC058D"/>
    <w:rsid w:val="00CC1427"/>
    <w:rsid w:val="00CC27BD"/>
    <w:rsid w:val="00CC29C1"/>
    <w:rsid w:val="00CD2995"/>
    <w:rsid w:val="00CD64FD"/>
    <w:rsid w:val="00CD6C26"/>
    <w:rsid w:val="00CD7844"/>
    <w:rsid w:val="00CD79F3"/>
    <w:rsid w:val="00CE079B"/>
    <w:rsid w:val="00CE4C4C"/>
    <w:rsid w:val="00CE7538"/>
    <w:rsid w:val="00CF1666"/>
    <w:rsid w:val="00CF1E5E"/>
    <w:rsid w:val="00CF24D0"/>
    <w:rsid w:val="00CF4848"/>
    <w:rsid w:val="00CF5987"/>
    <w:rsid w:val="00CF7805"/>
    <w:rsid w:val="00D007F8"/>
    <w:rsid w:val="00D030C9"/>
    <w:rsid w:val="00D05A52"/>
    <w:rsid w:val="00D107B3"/>
    <w:rsid w:val="00D114C6"/>
    <w:rsid w:val="00D142D0"/>
    <w:rsid w:val="00D17E41"/>
    <w:rsid w:val="00D22149"/>
    <w:rsid w:val="00D2364D"/>
    <w:rsid w:val="00D23D90"/>
    <w:rsid w:val="00D24220"/>
    <w:rsid w:val="00D26BF9"/>
    <w:rsid w:val="00D3112D"/>
    <w:rsid w:val="00D3522F"/>
    <w:rsid w:val="00D35879"/>
    <w:rsid w:val="00D374CE"/>
    <w:rsid w:val="00D378AD"/>
    <w:rsid w:val="00D449A1"/>
    <w:rsid w:val="00D47210"/>
    <w:rsid w:val="00D51CD0"/>
    <w:rsid w:val="00D5417B"/>
    <w:rsid w:val="00D54217"/>
    <w:rsid w:val="00D544AC"/>
    <w:rsid w:val="00D560AA"/>
    <w:rsid w:val="00D5661C"/>
    <w:rsid w:val="00D602C4"/>
    <w:rsid w:val="00D611CC"/>
    <w:rsid w:val="00D62977"/>
    <w:rsid w:val="00D635A1"/>
    <w:rsid w:val="00D6411A"/>
    <w:rsid w:val="00D67ABF"/>
    <w:rsid w:val="00D72492"/>
    <w:rsid w:val="00D73CCC"/>
    <w:rsid w:val="00D749E6"/>
    <w:rsid w:val="00D754B2"/>
    <w:rsid w:val="00D812B1"/>
    <w:rsid w:val="00D834E2"/>
    <w:rsid w:val="00D839E9"/>
    <w:rsid w:val="00D83F1A"/>
    <w:rsid w:val="00D844EE"/>
    <w:rsid w:val="00D8469A"/>
    <w:rsid w:val="00D847F8"/>
    <w:rsid w:val="00D85237"/>
    <w:rsid w:val="00D869C8"/>
    <w:rsid w:val="00D90465"/>
    <w:rsid w:val="00D96F97"/>
    <w:rsid w:val="00DA1E4E"/>
    <w:rsid w:val="00DB03D0"/>
    <w:rsid w:val="00DB38C3"/>
    <w:rsid w:val="00DB5CF9"/>
    <w:rsid w:val="00DB7D74"/>
    <w:rsid w:val="00DC4D77"/>
    <w:rsid w:val="00DC623D"/>
    <w:rsid w:val="00DC65A4"/>
    <w:rsid w:val="00DC6AE1"/>
    <w:rsid w:val="00DC78F4"/>
    <w:rsid w:val="00DD346F"/>
    <w:rsid w:val="00DD4C22"/>
    <w:rsid w:val="00DD6DFC"/>
    <w:rsid w:val="00DE3E9A"/>
    <w:rsid w:val="00DE750D"/>
    <w:rsid w:val="00DF1141"/>
    <w:rsid w:val="00DF1C1F"/>
    <w:rsid w:val="00DF2BC0"/>
    <w:rsid w:val="00DF3644"/>
    <w:rsid w:val="00DF386D"/>
    <w:rsid w:val="00DF392B"/>
    <w:rsid w:val="00DF3DF5"/>
    <w:rsid w:val="00DF5348"/>
    <w:rsid w:val="00DF57C3"/>
    <w:rsid w:val="00DF63A6"/>
    <w:rsid w:val="00E03A7A"/>
    <w:rsid w:val="00E04AF0"/>
    <w:rsid w:val="00E059D5"/>
    <w:rsid w:val="00E07402"/>
    <w:rsid w:val="00E11D31"/>
    <w:rsid w:val="00E12FD3"/>
    <w:rsid w:val="00E144C9"/>
    <w:rsid w:val="00E15C2C"/>
    <w:rsid w:val="00E168A0"/>
    <w:rsid w:val="00E2219E"/>
    <w:rsid w:val="00E223CD"/>
    <w:rsid w:val="00E22AAE"/>
    <w:rsid w:val="00E27633"/>
    <w:rsid w:val="00E32B79"/>
    <w:rsid w:val="00E3380C"/>
    <w:rsid w:val="00E33DC6"/>
    <w:rsid w:val="00E34BEE"/>
    <w:rsid w:val="00E37B98"/>
    <w:rsid w:val="00E406B4"/>
    <w:rsid w:val="00E40EAA"/>
    <w:rsid w:val="00E4152B"/>
    <w:rsid w:val="00E42210"/>
    <w:rsid w:val="00E43F3A"/>
    <w:rsid w:val="00E44619"/>
    <w:rsid w:val="00E45B15"/>
    <w:rsid w:val="00E4747C"/>
    <w:rsid w:val="00E51C1E"/>
    <w:rsid w:val="00E52096"/>
    <w:rsid w:val="00E57062"/>
    <w:rsid w:val="00E61E9F"/>
    <w:rsid w:val="00E63CEF"/>
    <w:rsid w:val="00E643AF"/>
    <w:rsid w:val="00E65D5E"/>
    <w:rsid w:val="00E67C6B"/>
    <w:rsid w:val="00E707D9"/>
    <w:rsid w:val="00E734A5"/>
    <w:rsid w:val="00E73EA9"/>
    <w:rsid w:val="00E7569C"/>
    <w:rsid w:val="00E76516"/>
    <w:rsid w:val="00E778FE"/>
    <w:rsid w:val="00E80C4B"/>
    <w:rsid w:val="00E80CB7"/>
    <w:rsid w:val="00E85481"/>
    <w:rsid w:val="00E87F70"/>
    <w:rsid w:val="00E90928"/>
    <w:rsid w:val="00E90BFC"/>
    <w:rsid w:val="00E94361"/>
    <w:rsid w:val="00E967D8"/>
    <w:rsid w:val="00EA10B6"/>
    <w:rsid w:val="00EA1562"/>
    <w:rsid w:val="00EA1866"/>
    <w:rsid w:val="00EA3E7A"/>
    <w:rsid w:val="00EA68CE"/>
    <w:rsid w:val="00EB109E"/>
    <w:rsid w:val="00EB1C45"/>
    <w:rsid w:val="00EB51EB"/>
    <w:rsid w:val="00EB6CC3"/>
    <w:rsid w:val="00EC1D5F"/>
    <w:rsid w:val="00EC36F1"/>
    <w:rsid w:val="00EC49E2"/>
    <w:rsid w:val="00EC677A"/>
    <w:rsid w:val="00EC7CCA"/>
    <w:rsid w:val="00ED4404"/>
    <w:rsid w:val="00ED6F4B"/>
    <w:rsid w:val="00EE0025"/>
    <w:rsid w:val="00EE0D8D"/>
    <w:rsid w:val="00EF273F"/>
    <w:rsid w:val="00EF284E"/>
    <w:rsid w:val="00F03D3B"/>
    <w:rsid w:val="00F06809"/>
    <w:rsid w:val="00F12074"/>
    <w:rsid w:val="00F12A37"/>
    <w:rsid w:val="00F12CD7"/>
    <w:rsid w:val="00F248E2"/>
    <w:rsid w:val="00F25445"/>
    <w:rsid w:val="00F322A8"/>
    <w:rsid w:val="00F32C04"/>
    <w:rsid w:val="00F32D18"/>
    <w:rsid w:val="00F333DD"/>
    <w:rsid w:val="00F3436F"/>
    <w:rsid w:val="00F35444"/>
    <w:rsid w:val="00F373C3"/>
    <w:rsid w:val="00F44B1C"/>
    <w:rsid w:val="00F45927"/>
    <w:rsid w:val="00F47FD3"/>
    <w:rsid w:val="00F52A28"/>
    <w:rsid w:val="00F6076C"/>
    <w:rsid w:val="00F62580"/>
    <w:rsid w:val="00F650FA"/>
    <w:rsid w:val="00F65D4B"/>
    <w:rsid w:val="00F674B8"/>
    <w:rsid w:val="00F749C2"/>
    <w:rsid w:val="00F7577A"/>
    <w:rsid w:val="00F771BD"/>
    <w:rsid w:val="00F83026"/>
    <w:rsid w:val="00F83EDB"/>
    <w:rsid w:val="00F855C9"/>
    <w:rsid w:val="00F91619"/>
    <w:rsid w:val="00F93094"/>
    <w:rsid w:val="00F9400E"/>
    <w:rsid w:val="00F964DD"/>
    <w:rsid w:val="00FA0AC6"/>
    <w:rsid w:val="00FA1C07"/>
    <w:rsid w:val="00FA3769"/>
    <w:rsid w:val="00FA48E3"/>
    <w:rsid w:val="00FA4E88"/>
    <w:rsid w:val="00FA5D5D"/>
    <w:rsid w:val="00FA7368"/>
    <w:rsid w:val="00FB2CBD"/>
    <w:rsid w:val="00FB314E"/>
    <w:rsid w:val="00FB42C0"/>
    <w:rsid w:val="00FB54AA"/>
    <w:rsid w:val="00FB54DD"/>
    <w:rsid w:val="00FB6734"/>
    <w:rsid w:val="00FB6A97"/>
    <w:rsid w:val="00FC01A6"/>
    <w:rsid w:val="00FC210B"/>
    <w:rsid w:val="00FC4CFF"/>
    <w:rsid w:val="00FC59CD"/>
    <w:rsid w:val="00FC614C"/>
    <w:rsid w:val="00FC6465"/>
    <w:rsid w:val="00FC6B5B"/>
    <w:rsid w:val="00FC6D3E"/>
    <w:rsid w:val="00FD01C8"/>
    <w:rsid w:val="00FD09BE"/>
    <w:rsid w:val="00FD0A99"/>
    <w:rsid w:val="00FE56E2"/>
    <w:rsid w:val="00FE7EE2"/>
    <w:rsid w:val="00FF357F"/>
    <w:rsid w:val="00FF4725"/>
    <w:rsid w:val="00FF5D36"/>
    <w:rsid w:val="00FF6BEB"/>
    <w:rsid w:val="00FF774B"/>
    <w:rsid w:val="00FF798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974EF4"/>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D869C8"/>
    <w:rPr>
      <w:rFonts w:ascii="Amnesty Trade Gothic" w:hAnsi="Amnesty Trade Gothic"/>
      <w:color w:val="000000"/>
      <w:lang w:eastAsia="ar-SA"/>
    </w:rPr>
  </w:style>
  <w:style w:type="character" w:styleId="Mencinsinresolver">
    <w:name w:val="Unresolved Mention"/>
    <w:basedOn w:val="Fuentedeprrafopredeter"/>
    <w:uiPriority w:val="99"/>
    <w:semiHidden/>
    <w:unhideWhenUsed/>
    <w:rsid w:val="003B11A7"/>
    <w:rPr>
      <w:color w:val="605E5C"/>
      <w:shd w:val="clear" w:color="auto" w:fill="E1DFDD"/>
    </w:rPr>
  </w:style>
  <w:style w:type="character" w:customStyle="1" w:styleId="cf01">
    <w:name w:val="cf01"/>
    <w:basedOn w:val="Fuentedeprrafopredeter"/>
    <w:rsid w:val="00B75C28"/>
    <w:rPr>
      <w:rFonts w:ascii="Segoe UI" w:hAnsi="Segoe UI" w:cs="Segoe UI" w:hint="default"/>
      <w:sz w:val="18"/>
      <w:szCs w:val="18"/>
    </w:rPr>
  </w:style>
  <w:style w:type="character" w:customStyle="1" w:styleId="hwtze">
    <w:name w:val="hwtze"/>
    <w:basedOn w:val="Fuentedeprrafopredeter"/>
    <w:rsid w:val="00856A6F"/>
  </w:style>
  <w:style w:type="character" w:customStyle="1" w:styleId="rynqvb">
    <w:name w:val="rynqvb"/>
    <w:basedOn w:val="Fuentedeprrafopredeter"/>
    <w:rsid w:val="00856A6F"/>
  </w:style>
  <w:style w:type="character" w:customStyle="1" w:styleId="material-icons-extended">
    <w:name w:val="material-icons-extended"/>
    <w:basedOn w:val="Fuentedeprrafopredeter"/>
    <w:rsid w:val="0085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74516">
      <w:bodyDiv w:val="1"/>
      <w:marLeft w:val="0"/>
      <w:marRight w:val="0"/>
      <w:marTop w:val="0"/>
      <w:marBottom w:val="0"/>
      <w:divBdr>
        <w:top w:val="none" w:sz="0" w:space="0" w:color="auto"/>
        <w:left w:val="none" w:sz="0" w:space="0" w:color="auto"/>
        <w:bottom w:val="none" w:sz="0" w:space="0" w:color="auto"/>
        <w:right w:val="none" w:sz="0" w:space="0" w:color="auto"/>
      </w:divBdr>
      <w:divsChild>
        <w:div w:id="766124279">
          <w:marLeft w:val="0"/>
          <w:marRight w:val="0"/>
          <w:marTop w:val="0"/>
          <w:marBottom w:val="0"/>
          <w:divBdr>
            <w:top w:val="none" w:sz="0" w:space="0" w:color="auto"/>
            <w:left w:val="none" w:sz="0" w:space="0" w:color="auto"/>
            <w:bottom w:val="none" w:sz="0" w:space="0" w:color="auto"/>
            <w:right w:val="none" w:sz="0" w:space="0" w:color="auto"/>
          </w:divBdr>
          <w:divsChild>
            <w:div w:id="1718092311">
              <w:marLeft w:val="0"/>
              <w:marRight w:val="0"/>
              <w:marTop w:val="0"/>
              <w:marBottom w:val="0"/>
              <w:divBdr>
                <w:top w:val="none" w:sz="0" w:space="0" w:color="auto"/>
                <w:left w:val="none" w:sz="0" w:space="0" w:color="auto"/>
                <w:bottom w:val="none" w:sz="0" w:space="0" w:color="auto"/>
                <w:right w:val="none" w:sz="0" w:space="0" w:color="auto"/>
              </w:divBdr>
              <w:divsChild>
                <w:div w:id="567811744">
                  <w:marLeft w:val="0"/>
                  <w:marRight w:val="0"/>
                  <w:marTop w:val="0"/>
                  <w:marBottom w:val="0"/>
                  <w:divBdr>
                    <w:top w:val="none" w:sz="0" w:space="0" w:color="auto"/>
                    <w:left w:val="none" w:sz="0" w:space="0" w:color="auto"/>
                    <w:bottom w:val="none" w:sz="0" w:space="0" w:color="auto"/>
                    <w:right w:val="none" w:sz="0" w:space="0" w:color="auto"/>
                  </w:divBdr>
                  <w:divsChild>
                    <w:div w:id="1621523232">
                      <w:marLeft w:val="0"/>
                      <w:marRight w:val="0"/>
                      <w:marTop w:val="0"/>
                      <w:marBottom w:val="0"/>
                      <w:divBdr>
                        <w:top w:val="none" w:sz="0" w:space="0" w:color="auto"/>
                        <w:left w:val="none" w:sz="0" w:space="0" w:color="auto"/>
                        <w:bottom w:val="none" w:sz="0" w:space="0" w:color="auto"/>
                        <w:right w:val="none" w:sz="0" w:space="0" w:color="auto"/>
                      </w:divBdr>
                      <w:divsChild>
                        <w:div w:id="190460804">
                          <w:marLeft w:val="0"/>
                          <w:marRight w:val="0"/>
                          <w:marTop w:val="0"/>
                          <w:marBottom w:val="0"/>
                          <w:divBdr>
                            <w:top w:val="none" w:sz="0" w:space="0" w:color="auto"/>
                            <w:left w:val="none" w:sz="0" w:space="0" w:color="auto"/>
                            <w:bottom w:val="none" w:sz="0" w:space="0" w:color="auto"/>
                            <w:right w:val="none" w:sz="0" w:space="0" w:color="auto"/>
                          </w:divBdr>
                          <w:divsChild>
                            <w:div w:id="1724407121">
                              <w:marLeft w:val="0"/>
                              <w:marRight w:val="0"/>
                              <w:marTop w:val="0"/>
                              <w:marBottom w:val="0"/>
                              <w:divBdr>
                                <w:top w:val="none" w:sz="0" w:space="0" w:color="auto"/>
                                <w:left w:val="none" w:sz="0" w:space="0" w:color="auto"/>
                                <w:bottom w:val="none" w:sz="0" w:space="0" w:color="auto"/>
                                <w:right w:val="none" w:sz="0" w:space="0" w:color="auto"/>
                              </w:divBdr>
                              <w:divsChild>
                                <w:div w:id="1596130577">
                                  <w:marLeft w:val="0"/>
                                  <w:marRight w:val="0"/>
                                  <w:marTop w:val="0"/>
                                  <w:marBottom w:val="0"/>
                                  <w:divBdr>
                                    <w:top w:val="none" w:sz="0" w:space="0" w:color="auto"/>
                                    <w:left w:val="none" w:sz="0" w:space="0" w:color="auto"/>
                                    <w:bottom w:val="none" w:sz="0" w:space="0" w:color="auto"/>
                                    <w:right w:val="none" w:sz="0" w:space="0" w:color="auto"/>
                                  </w:divBdr>
                                  <w:divsChild>
                                    <w:div w:id="1420371980">
                                      <w:marLeft w:val="0"/>
                                      <w:marRight w:val="0"/>
                                      <w:marTop w:val="0"/>
                                      <w:marBottom w:val="0"/>
                                      <w:divBdr>
                                        <w:top w:val="none" w:sz="0" w:space="0" w:color="auto"/>
                                        <w:left w:val="none" w:sz="0" w:space="0" w:color="auto"/>
                                        <w:bottom w:val="none" w:sz="0" w:space="0" w:color="auto"/>
                                        <w:right w:val="none" w:sz="0" w:space="0" w:color="auto"/>
                                      </w:divBdr>
                                    </w:div>
                                    <w:div w:id="1935245207">
                                      <w:marLeft w:val="0"/>
                                      <w:marRight w:val="0"/>
                                      <w:marTop w:val="0"/>
                                      <w:marBottom w:val="0"/>
                                      <w:divBdr>
                                        <w:top w:val="none" w:sz="0" w:space="0" w:color="auto"/>
                                        <w:left w:val="none" w:sz="0" w:space="0" w:color="auto"/>
                                        <w:bottom w:val="none" w:sz="0" w:space="0" w:color="auto"/>
                                        <w:right w:val="none" w:sz="0" w:space="0" w:color="auto"/>
                                      </w:divBdr>
                                      <w:divsChild>
                                        <w:div w:id="536309220">
                                          <w:marLeft w:val="0"/>
                                          <w:marRight w:val="0"/>
                                          <w:marTop w:val="0"/>
                                          <w:marBottom w:val="0"/>
                                          <w:divBdr>
                                            <w:top w:val="none" w:sz="0" w:space="0" w:color="auto"/>
                                            <w:left w:val="none" w:sz="0" w:space="0" w:color="auto"/>
                                            <w:bottom w:val="none" w:sz="0" w:space="0" w:color="auto"/>
                                            <w:right w:val="none" w:sz="0" w:space="0" w:color="auto"/>
                                          </w:divBdr>
                                          <w:divsChild>
                                            <w:div w:id="1473061831">
                                              <w:marLeft w:val="0"/>
                                              <w:marRight w:val="0"/>
                                              <w:marTop w:val="0"/>
                                              <w:marBottom w:val="0"/>
                                              <w:divBdr>
                                                <w:top w:val="none" w:sz="0" w:space="0" w:color="auto"/>
                                                <w:left w:val="none" w:sz="0" w:space="0" w:color="auto"/>
                                                <w:bottom w:val="none" w:sz="0" w:space="0" w:color="auto"/>
                                                <w:right w:val="none" w:sz="0" w:space="0" w:color="auto"/>
                                              </w:divBdr>
                                              <w:divsChild>
                                                <w:div w:id="17802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8864">
                                      <w:marLeft w:val="0"/>
                                      <w:marRight w:val="0"/>
                                      <w:marTop w:val="0"/>
                                      <w:marBottom w:val="0"/>
                                      <w:divBdr>
                                        <w:top w:val="none" w:sz="0" w:space="0" w:color="auto"/>
                                        <w:left w:val="none" w:sz="0" w:space="0" w:color="auto"/>
                                        <w:bottom w:val="none" w:sz="0" w:space="0" w:color="auto"/>
                                        <w:right w:val="none" w:sz="0" w:space="0" w:color="auto"/>
                                      </w:divBdr>
                                      <w:divsChild>
                                        <w:div w:id="1958246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233905">
      <w:bodyDiv w:val="1"/>
      <w:marLeft w:val="0"/>
      <w:marRight w:val="0"/>
      <w:marTop w:val="0"/>
      <w:marBottom w:val="0"/>
      <w:divBdr>
        <w:top w:val="none" w:sz="0" w:space="0" w:color="auto"/>
        <w:left w:val="none" w:sz="0" w:space="0" w:color="auto"/>
        <w:bottom w:val="none" w:sz="0" w:space="0" w:color="auto"/>
        <w:right w:val="none" w:sz="0" w:space="0" w:color="auto"/>
      </w:divBdr>
    </w:div>
    <w:div w:id="1650355653">
      <w:bodyDiv w:val="1"/>
      <w:marLeft w:val="0"/>
      <w:marRight w:val="0"/>
      <w:marTop w:val="0"/>
      <w:marBottom w:val="0"/>
      <w:divBdr>
        <w:top w:val="none" w:sz="0" w:space="0" w:color="auto"/>
        <w:left w:val="none" w:sz="0" w:space="0" w:color="auto"/>
        <w:bottom w:val="none" w:sz="0" w:space="0" w:color="auto"/>
        <w:right w:val="none" w:sz="0" w:space="0" w:color="auto"/>
      </w:divBdr>
    </w:div>
    <w:div w:id="175901635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commreports.ohchr.org/TmSearch/Mandates?m=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el-mouradia.dz" TargetMode="External"/><Relationship Id="rId12" Type="http://schemas.openxmlformats.org/officeDocument/2006/relationships/hyperlink" Target="https://www.amnesty.org/es/documents/mde28/6664/2023/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campaigns/2023/09/a-society-behind-bars-the-effects-of-algerias-widespread-crackdown-on-human-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s/latest/news/2023/04/algeria-conviction-of-journalist-is-latest-escalation-in-crackdown-on-media/" TargetMode="External"/><Relationship Id="rId4" Type="http://schemas.openxmlformats.org/officeDocument/2006/relationships/webSettings" Target="webSettings.xml"/><Relationship Id="rId9" Type="http://schemas.openxmlformats.org/officeDocument/2006/relationships/hyperlink" Target="https://spcommreports.ohchr.org/TmSearch/Mandates?m=24"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8696</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2024-01-23T09:37:00Z</dcterms:created>
  <dcterms:modified xsi:type="dcterms:W3CDTF">2024-01-23T09:37:00Z</dcterms:modified>
</cp:coreProperties>
</file>