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71B1BB" w14:textId="47824835" w:rsidR="0034128A" w:rsidRPr="00014A4E" w:rsidRDefault="0034128A" w:rsidP="00980425">
      <w:pPr>
        <w:pStyle w:val="AIUrgentActionTopHeading"/>
        <w:tabs>
          <w:tab w:val="clear" w:pos="567"/>
        </w:tabs>
        <w:ind w:left="-283"/>
        <w:rPr>
          <w:rFonts w:cs="Arial"/>
          <w:sz w:val="100"/>
          <w:szCs w:val="100"/>
          <w:lang w:val="es-ES"/>
        </w:rPr>
      </w:pPr>
      <w:r w:rsidRPr="00014A4E">
        <w:rPr>
          <w:rFonts w:cs="Arial"/>
          <w:bCs/>
          <w:sz w:val="100"/>
          <w:szCs w:val="100"/>
          <w:highlight w:val="yellow"/>
          <w:lang w:val="es"/>
        </w:rPr>
        <w:t>ACCIÓN URGENTE</w:t>
      </w:r>
    </w:p>
    <w:p w14:paraId="3EBC4D71" w14:textId="77777777" w:rsidR="005D2C37" w:rsidRPr="00014A4E" w:rsidRDefault="005D2C37" w:rsidP="00980425">
      <w:pPr>
        <w:pStyle w:val="Default"/>
        <w:ind w:left="-283"/>
        <w:rPr>
          <w:b/>
          <w:sz w:val="20"/>
          <w:szCs w:val="20"/>
          <w:lang w:val="es-ES"/>
        </w:rPr>
      </w:pPr>
    </w:p>
    <w:p w14:paraId="58F3C137" w14:textId="2DA2E4F8" w:rsidR="0034128A" w:rsidRPr="00014A4E" w:rsidRDefault="00617C5D" w:rsidP="00EA68CE">
      <w:pPr>
        <w:spacing w:after="0"/>
        <w:ind w:left="-283"/>
        <w:rPr>
          <w:rFonts w:ascii="Arial" w:hAnsi="Arial" w:cs="Arial"/>
          <w:b/>
          <w:i/>
          <w:sz w:val="32"/>
          <w:szCs w:val="32"/>
          <w:lang w:val="es-ES"/>
        </w:rPr>
      </w:pPr>
      <w:r w:rsidRPr="00014A4E">
        <w:rPr>
          <w:rFonts w:ascii="Arial" w:hAnsi="Arial" w:cs="Arial"/>
          <w:b/>
          <w:bCs/>
          <w:sz w:val="32"/>
          <w:szCs w:val="32"/>
          <w:lang w:val="es"/>
        </w:rPr>
        <w:t>ACTIVISTA POLÍTICO CONDENADO A CINCO AÑOS</w:t>
      </w:r>
    </w:p>
    <w:p w14:paraId="5FFF63DF" w14:textId="16D3CA2C" w:rsidR="00D23D90" w:rsidRPr="00014A4E" w:rsidRDefault="00C25206" w:rsidP="4D27C9DE">
      <w:pPr>
        <w:spacing w:after="0"/>
        <w:ind w:left="-283"/>
        <w:rPr>
          <w:rFonts w:ascii="Arial" w:hAnsi="Arial" w:cs="Arial"/>
          <w:b/>
          <w:bCs/>
          <w:sz w:val="24"/>
          <w:szCs w:val="36"/>
          <w:lang w:val="es-ES"/>
        </w:rPr>
      </w:pPr>
      <w:r w:rsidRPr="00014A4E">
        <w:rPr>
          <w:rFonts w:ascii="Arial" w:hAnsi="Arial" w:cs="Arial"/>
          <w:b/>
          <w:bCs/>
          <w:sz w:val="24"/>
          <w:szCs w:val="36"/>
          <w:lang w:val="es"/>
        </w:rPr>
        <w:t xml:space="preserve">El 7 de enero de 2025, el Tribunal de Seguridad del Estado de Jordania condenó a </w:t>
      </w:r>
      <w:proofErr w:type="spellStart"/>
      <w:r w:rsidRPr="00014A4E">
        <w:rPr>
          <w:rFonts w:ascii="Arial" w:hAnsi="Arial" w:cs="Arial"/>
          <w:b/>
          <w:bCs/>
          <w:sz w:val="24"/>
          <w:szCs w:val="36"/>
          <w:lang w:val="es"/>
        </w:rPr>
        <w:t>Ayman</w:t>
      </w:r>
      <w:proofErr w:type="spellEnd"/>
      <w:r w:rsidRPr="00014A4E">
        <w:rPr>
          <w:rFonts w:ascii="Arial" w:hAnsi="Arial" w:cs="Arial"/>
          <w:b/>
          <w:bCs/>
          <w:sz w:val="24"/>
          <w:szCs w:val="36"/>
          <w:lang w:val="es"/>
        </w:rPr>
        <w:t xml:space="preserve"> </w:t>
      </w:r>
      <w:proofErr w:type="spellStart"/>
      <w:r w:rsidRPr="00014A4E">
        <w:rPr>
          <w:rFonts w:ascii="Arial" w:hAnsi="Arial" w:cs="Arial"/>
          <w:b/>
          <w:bCs/>
          <w:sz w:val="24"/>
          <w:szCs w:val="36"/>
          <w:lang w:val="es"/>
        </w:rPr>
        <w:t>Sanduka</w:t>
      </w:r>
      <w:proofErr w:type="spellEnd"/>
      <w:r w:rsidRPr="00014A4E">
        <w:rPr>
          <w:rFonts w:ascii="Arial" w:hAnsi="Arial" w:cs="Arial"/>
          <w:b/>
          <w:bCs/>
          <w:sz w:val="24"/>
          <w:szCs w:val="36"/>
          <w:lang w:val="es"/>
        </w:rPr>
        <w:t xml:space="preserve"> —activista político y profesor de matemáticas— a cinco años de prisión por “incitación a oponerse al régimen político” en relación con una publicación realizada en Facebook en octubre de 2023 y dirigida al rey, en la que criticaba las relaciones diplomáticas de Jordania con Israel.</w:t>
      </w:r>
      <w:r w:rsidR="00527C99" w:rsidRPr="00014A4E">
        <w:rPr>
          <w:rFonts w:ascii="Arial" w:hAnsi="Arial" w:cs="Arial"/>
          <w:b/>
          <w:bCs/>
          <w:sz w:val="24"/>
          <w:szCs w:val="36"/>
          <w:lang w:val="es"/>
        </w:rPr>
        <w:t xml:space="preserve"> </w:t>
      </w:r>
      <w:r w:rsidRPr="00014A4E">
        <w:rPr>
          <w:rFonts w:ascii="Arial" w:hAnsi="Arial" w:cs="Arial"/>
          <w:b/>
          <w:bCs/>
          <w:sz w:val="24"/>
          <w:szCs w:val="36"/>
          <w:lang w:val="es"/>
        </w:rPr>
        <w:t xml:space="preserve">Las autoridades jordanas deben retirar todos los cargos y poner en libertad de inmediato y sin condiciones a </w:t>
      </w:r>
      <w:proofErr w:type="spellStart"/>
      <w:r w:rsidRPr="00014A4E">
        <w:rPr>
          <w:rFonts w:ascii="Arial" w:hAnsi="Arial" w:cs="Arial"/>
          <w:b/>
          <w:bCs/>
          <w:sz w:val="24"/>
          <w:szCs w:val="36"/>
          <w:lang w:val="es"/>
        </w:rPr>
        <w:t>Ayman</w:t>
      </w:r>
      <w:proofErr w:type="spellEnd"/>
      <w:r w:rsidRPr="00014A4E">
        <w:rPr>
          <w:rFonts w:ascii="Arial" w:hAnsi="Arial" w:cs="Arial"/>
          <w:b/>
          <w:bCs/>
          <w:sz w:val="24"/>
          <w:szCs w:val="36"/>
          <w:lang w:val="es"/>
        </w:rPr>
        <w:t xml:space="preserve"> </w:t>
      </w:r>
      <w:proofErr w:type="spellStart"/>
      <w:r w:rsidRPr="00014A4E">
        <w:rPr>
          <w:rFonts w:ascii="Arial" w:hAnsi="Arial" w:cs="Arial"/>
          <w:b/>
          <w:bCs/>
          <w:sz w:val="24"/>
          <w:szCs w:val="36"/>
          <w:lang w:val="es"/>
        </w:rPr>
        <w:t>Sanduka</w:t>
      </w:r>
      <w:proofErr w:type="spellEnd"/>
      <w:r w:rsidRPr="00014A4E">
        <w:rPr>
          <w:rFonts w:ascii="Arial" w:hAnsi="Arial" w:cs="Arial"/>
          <w:b/>
          <w:bCs/>
          <w:sz w:val="24"/>
          <w:szCs w:val="36"/>
          <w:lang w:val="es"/>
        </w:rPr>
        <w:t xml:space="preserve">, puesto que fue condenado solamente por ejercer su derecho a la libertad de expresión. </w:t>
      </w:r>
    </w:p>
    <w:p w14:paraId="63A7533A" w14:textId="77777777" w:rsidR="005D2C37" w:rsidRPr="00014A4E" w:rsidRDefault="005D2C37" w:rsidP="00980425">
      <w:pPr>
        <w:spacing w:after="0" w:line="240" w:lineRule="auto"/>
        <w:ind w:left="-283"/>
        <w:rPr>
          <w:rFonts w:ascii="Arial" w:hAnsi="Arial" w:cs="Arial"/>
          <w:b/>
          <w:sz w:val="24"/>
          <w:szCs w:val="36"/>
          <w:lang w:val="es-ES"/>
        </w:rPr>
      </w:pPr>
    </w:p>
    <w:p w14:paraId="5AC98AEC" w14:textId="6558E3A0" w:rsidR="005D2C37" w:rsidRPr="00014A4E" w:rsidRDefault="005D2C37" w:rsidP="00617C5D">
      <w:pPr>
        <w:spacing w:after="0" w:line="240" w:lineRule="auto"/>
        <w:ind w:left="-283"/>
        <w:rPr>
          <w:rFonts w:ascii="Arial" w:hAnsi="Arial" w:cs="Arial"/>
          <w:b/>
          <w:color w:val="FF0000"/>
          <w:sz w:val="22"/>
          <w:lang w:val="es-ES"/>
        </w:rPr>
      </w:pPr>
      <w:r w:rsidRPr="00014A4E">
        <w:rPr>
          <w:rFonts w:ascii="Arial" w:hAnsi="Arial" w:cs="Arial"/>
          <w:b/>
          <w:bCs/>
          <w:color w:val="FF0000"/>
          <w:sz w:val="22"/>
          <w:lang w:val="es"/>
        </w:rPr>
        <w:t>ACTÚEN: REDACTEN SU PROPIO LLAMAMIENTO O UTILICEN LA SIGUIENTE CARTA MODELO</w:t>
      </w:r>
    </w:p>
    <w:p w14:paraId="00E37620" w14:textId="77777777" w:rsidR="005D2C37" w:rsidRPr="00014A4E" w:rsidRDefault="005D2C37" w:rsidP="00980425">
      <w:pPr>
        <w:autoSpaceDE w:val="0"/>
        <w:autoSpaceDN w:val="0"/>
        <w:adjustRightInd w:val="0"/>
        <w:spacing w:after="0" w:line="240" w:lineRule="auto"/>
        <w:ind w:left="-283"/>
        <w:rPr>
          <w:rFonts w:ascii="Arial" w:hAnsi="Arial" w:cs="Arial"/>
          <w:sz w:val="22"/>
          <w:szCs w:val="32"/>
          <w:lang w:val="es-ES"/>
        </w:rPr>
      </w:pPr>
    </w:p>
    <w:p w14:paraId="18267644" w14:textId="77777777" w:rsidR="00527C99" w:rsidRPr="00014A4E" w:rsidRDefault="009D4AD7" w:rsidP="009D4AD7">
      <w:pPr>
        <w:spacing w:after="0" w:line="240" w:lineRule="auto"/>
        <w:ind w:left="-283"/>
        <w:jc w:val="right"/>
        <w:rPr>
          <w:rFonts w:ascii="Arial" w:hAnsi="Arial" w:cs="Arial"/>
          <w:b/>
          <w:bCs/>
          <w:i/>
          <w:iCs/>
          <w:sz w:val="20"/>
          <w:szCs w:val="20"/>
          <w:u w:val="single"/>
          <w:lang w:val="es"/>
        </w:rPr>
      </w:pPr>
      <w:r w:rsidRPr="00014A4E">
        <w:rPr>
          <w:rFonts w:ascii="Arial" w:hAnsi="Arial" w:cs="Arial"/>
          <w:b/>
          <w:bCs/>
          <w:i/>
          <w:iCs/>
          <w:sz w:val="20"/>
          <w:szCs w:val="20"/>
          <w:u w:val="single"/>
          <w:lang w:val="es"/>
        </w:rPr>
        <w:t xml:space="preserve">Rey Abdullah II </w:t>
      </w:r>
      <w:proofErr w:type="spellStart"/>
      <w:r w:rsidRPr="00014A4E">
        <w:rPr>
          <w:rFonts w:ascii="Arial" w:hAnsi="Arial" w:cs="Arial"/>
          <w:b/>
          <w:bCs/>
          <w:i/>
          <w:iCs/>
          <w:sz w:val="20"/>
          <w:szCs w:val="20"/>
          <w:u w:val="single"/>
          <w:lang w:val="es"/>
        </w:rPr>
        <w:t>ibn</w:t>
      </w:r>
      <w:proofErr w:type="spellEnd"/>
      <w:r w:rsidRPr="00014A4E">
        <w:rPr>
          <w:rFonts w:ascii="Arial" w:hAnsi="Arial" w:cs="Arial"/>
          <w:b/>
          <w:bCs/>
          <w:i/>
          <w:iCs/>
          <w:sz w:val="20"/>
          <w:szCs w:val="20"/>
          <w:u w:val="single"/>
          <w:lang w:val="es"/>
        </w:rPr>
        <w:t xml:space="preserve"> Al Hussein</w:t>
      </w:r>
    </w:p>
    <w:p w14:paraId="2BD07350" w14:textId="0026732B" w:rsidR="009D4AD7" w:rsidRPr="00014A4E" w:rsidRDefault="009D4AD7" w:rsidP="009D4AD7">
      <w:pPr>
        <w:spacing w:after="0" w:line="240" w:lineRule="auto"/>
        <w:ind w:left="-283"/>
        <w:jc w:val="right"/>
        <w:rPr>
          <w:rFonts w:ascii="Arial" w:hAnsi="Arial" w:cs="Arial"/>
          <w:b/>
          <w:i/>
          <w:sz w:val="20"/>
          <w:szCs w:val="20"/>
        </w:rPr>
      </w:pPr>
      <w:r w:rsidRPr="00014A4E">
        <w:rPr>
          <w:rFonts w:ascii="Arial" w:hAnsi="Arial" w:cs="Arial"/>
          <w:b/>
          <w:bCs/>
          <w:i/>
          <w:iCs/>
          <w:sz w:val="20"/>
          <w:szCs w:val="20"/>
          <w:lang w:val="en-US"/>
        </w:rPr>
        <w:t>His Majesty King Abdullah II ibn Al Hussein</w:t>
      </w:r>
    </w:p>
    <w:p w14:paraId="76E48DB7" w14:textId="77777777" w:rsidR="009D4AD7" w:rsidRPr="00014A4E" w:rsidRDefault="009D4AD7" w:rsidP="009D4AD7">
      <w:pPr>
        <w:spacing w:after="0" w:line="240" w:lineRule="auto"/>
        <w:ind w:left="-283"/>
        <w:jc w:val="right"/>
        <w:rPr>
          <w:rFonts w:ascii="Arial" w:hAnsi="Arial" w:cs="Arial"/>
          <w:b/>
          <w:i/>
          <w:sz w:val="20"/>
          <w:szCs w:val="20"/>
        </w:rPr>
      </w:pPr>
      <w:r w:rsidRPr="00014A4E">
        <w:rPr>
          <w:rFonts w:ascii="Arial" w:hAnsi="Arial" w:cs="Arial"/>
          <w:b/>
          <w:bCs/>
          <w:i/>
          <w:iCs/>
          <w:sz w:val="20"/>
          <w:szCs w:val="20"/>
          <w:lang w:val="en-US"/>
        </w:rPr>
        <w:t>Royal Hashemite Court</w:t>
      </w:r>
    </w:p>
    <w:p w14:paraId="391D9486" w14:textId="77777777" w:rsidR="009D4AD7" w:rsidRPr="00014A4E" w:rsidRDefault="009D4AD7" w:rsidP="009D4AD7">
      <w:pPr>
        <w:spacing w:after="0" w:line="240" w:lineRule="auto"/>
        <w:ind w:left="-283"/>
        <w:jc w:val="right"/>
        <w:rPr>
          <w:rFonts w:ascii="Arial" w:hAnsi="Arial" w:cs="Arial"/>
          <w:b/>
          <w:i/>
          <w:sz w:val="20"/>
          <w:szCs w:val="20"/>
        </w:rPr>
      </w:pPr>
      <w:r w:rsidRPr="00014A4E">
        <w:rPr>
          <w:rFonts w:ascii="Arial" w:hAnsi="Arial" w:cs="Arial"/>
          <w:b/>
          <w:bCs/>
          <w:i/>
          <w:iCs/>
          <w:sz w:val="20"/>
          <w:szCs w:val="20"/>
          <w:lang w:val="en-US"/>
        </w:rPr>
        <w:t>Amman, Jordania</w:t>
      </w:r>
    </w:p>
    <w:p w14:paraId="49B8455E" w14:textId="77777777" w:rsidR="009D4AD7" w:rsidRPr="00014A4E" w:rsidRDefault="009D4AD7" w:rsidP="009D4AD7">
      <w:pPr>
        <w:spacing w:after="0" w:line="240" w:lineRule="auto"/>
        <w:ind w:left="-283"/>
        <w:jc w:val="right"/>
        <w:rPr>
          <w:rFonts w:ascii="Arial" w:hAnsi="Arial" w:cs="Arial"/>
          <w:b/>
          <w:i/>
          <w:sz w:val="20"/>
          <w:szCs w:val="20"/>
        </w:rPr>
      </w:pPr>
      <w:r w:rsidRPr="00014A4E">
        <w:rPr>
          <w:rFonts w:ascii="Arial" w:hAnsi="Arial" w:cs="Arial"/>
          <w:b/>
          <w:bCs/>
          <w:i/>
          <w:iCs/>
          <w:sz w:val="20"/>
          <w:szCs w:val="20"/>
          <w:lang w:val="en-US"/>
        </w:rPr>
        <w:t>X (Twitter</w:t>
      </w:r>
      <w:proofErr w:type="gramStart"/>
      <w:r w:rsidRPr="00014A4E">
        <w:rPr>
          <w:rFonts w:ascii="Arial" w:hAnsi="Arial" w:cs="Arial"/>
          <w:b/>
          <w:bCs/>
          <w:i/>
          <w:iCs/>
          <w:sz w:val="20"/>
          <w:szCs w:val="20"/>
          <w:lang w:val="en-US"/>
        </w:rPr>
        <w:t>): @</w:t>
      </w:r>
      <w:proofErr w:type="gramEnd"/>
      <w:r w:rsidRPr="00014A4E">
        <w:rPr>
          <w:rFonts w:ascii="Arial" w:hAnsi="Arial" w:cs="Arial"/>
          <w:b/>
          <w:bCs/>
          <w:i/>
          <w:iCs/>
          <w:sz w:val="20"/>
          <w:szCs w:val="20"/>
          <w:lang w:val="en-US"/>
        </w:rPr>
        <w:t>KingAbdullahII</w:t>
      </w:r>
    </w:p>
    <w:p w14:paraId="5937910D" w14:textId="77777777" w:rsidR="009D4AD7" w:rsidRPr="00014A4E" w:rsidRDefault="009D4AD7" w:rsidP="009D4AD7">
      <w:pPr>
        <w:spacing w:after="0" w:line="240" w:lineRule="auto"/>
        <w:ind w:left="-283"/>
        <w:rPr>
          <w:rFonts w:ascii="Arial" w:hAnsi="Arial" w:cs="Arial"/>
          <w:b/>
          <w:i/>
          <w:sz w:val="20"/>
          <w:szCs w:val="20"/>
        </w:rPr>
      </w:pPr>
    </w:p>
    <w:p w14:paraId="12B1DFD3" w14:textId="75FA118A" w:rsidR="005D2C37" w:rsidRPr="00014A4E" w:rsidRDefault="00D62C90" w:rsidP="009D4AD7">
      <w:pPr>
        <w:spacing w:after="0" w:line="240" w:lineRule="auto"/>
        <w:ind w:left="-283"/>
        <w:rPr>
          <w:rFonts w:ascii="Arial" w:hAnsi="Arial" w:cs="Arial"/>
          <w:i/>
          <w:sz w:val="20"/>
          <w:szCs w:val="20"/>
          <w:lang w:val="es-ES"/>
        </w:rPr>
      </w:pPr>
      <w:r w:rsidRPr="00014A4E">
        <w:rPr>
          <w:rFonts w:ascii="Arial" w:hAnsi="Arial" w:cs="Arial"/>
          <w:i/>
          <w:iCs/>
          <w:sz w:val="20"/>
          <w:szCs w:val="20"/>
          <w:lang w:val="es"/>
        </w:rPr>
        <w:t>Su Majestad:</w:t>
      </w:r>
    </w:p>
    <w:p w14:paraId="4CE45A99" w14:textId="77777777" w:rsidR="005D2C37" w:rsidRPr="00014A4E" w:rsidRDefault="005D2C37" w:rsidP="00980425">
      <w:pPr>
        <w:spacing w:after="0" w:line="240" w:lineRule="auto"/>
        <w:ind w:left="-283"/>
        <w:rPr>
          <w:rFonts w:ascii="Arial" w:hAnsi="Arial" w:cs="Arial"/>
          <w:i/>
          <w:sz w:val="20"/>
          <w:szCs w:val="20"/>
          <w:lang w:val="es-ES"/>
        </w:rPr>
      </w:pPr>
    </w:p>
    <w:p w14:paraId="79F940FE" w14:textId="72FFF0F7" w:rsidR="009D4AD7" w:rsidRPr="00014A4E" w:rsidRDefault="00D62C90" w:rsidP="001C436D">
      <w:pPr>
        <w:spacing w:after="0" w:line="240" w:lineRule="auto"/>
        <w:ind w:left="-283"/>
        <w:rPr>
          <w:rFonts w:ascii="Arial" w:hAnsi="Arial" w:cs="Arial"/>
          <w:i/>
          <w:sz w:val="20"/>
          <w:szCs w:val="20"/>
          <w:lang w:val="es-ES"/>
        </w:rPr>
      </w:pPr>
      <w:r w:rsidRPr="00014A4E">
        <w:rPr>
          <w:rFonts w:ascii="Arial" w:hAnsi="Arial" w:cs="Arial"/>
          <w:i/>
          <w:iCs/>
          <w:sz w:val="20"/>
          <w:szCs w:val="20"/>
          <w:lang w:val="es"/>
        </w:rPr>
        <w:t xml:space="preserve">Me angustia la noticia de que el Tribunal de Seguridad del Estado de Jordania ha declarado al activista político y profesor de matemáticas </w:t>
      </w:r>
      <w:proofErr w:type="spellStart"/>
      <w:r w:rsidRPr="00014A4E">
        <w:rPr>
          <w:rFonts w:ascii="Arial" w:hAnsi="Arial" w:cs="Arial"/>
          <w:i/>
          <w:iCs/>
          <w:sz w:val="20"/>
          <w:szCs w:val="20"/>
          <w:lang w:val="es"/>
        </w:rPr>
        <w:t>Ayman</w:t>
      </w:r>
      <w:proofErr w:type="spellEnd"/>
      <w:r w:rsidRPr="00014A4E">
        <w:rPr>
          <w:rFonts w:ascii="Arial" w:hAnsi="Arial" w:cs="Arial"/>
          <w:i/>
          <w:iCs/>
          <w:sz w:val="20"/>
          <w:szCs w:val="20"/>
          <w:lang w:val="es"/>
        </w:rPr>
        <w:t xml:space="preserve"> </w:t>
      </w:r>
      <w:proofErr w:type="spellStart"/>
      <w:r w:rsidRPr="00014A4E">
        <w:rPr>
          <w:rFonts w:ascii="Arial" w:hAnsi="Arial" w:cs="Arial"/>
          <w:i/>
          <w:iCs/>
          <w:sz w:val="20"/>
          <w:szCs w:val="20"/>
          <w:lang w:val="es"/>
        </w:rPr>
        <w:t>Sanduka</w:t>
      </w:r>
      <w:proofErr w:type="spellEnd"/>
      <w:r w:rsidRPr="00014A4E">
        <w:rPr>
          <w:rFonts w:ascii="Arial" w:hAnsi="Arial" w:cs="Arial"/>
          <w:i/>
          <w:iCs/>
          <w:sz w:val="20"/>
          <w:szCs w:val="20"/>
          <w:lang w:val="es"/>
        </w:rPr>
        <w:t xml:space="preserve"> culpable de “incitación a oponerse al régimen político” únicamente por ejercer su derecho a la libertad de expresión en las redes sociales. </w:t>
      </w:r>
    </w:p>
    <w:p w14:paraId="18D71751" w14:textId="77777777" w:rsidR="009D4AD7" w:rsidRPr="00014A4E" w:rsidRDefault="009D4AD7" w:rsidP="009D4AD7">
      <w:pPr>
        <w:spacing w:after="0" w:line="240" w:lineRule="auto"/>
        <w:ind w:left="-283"/>
        <w:rPr>
          <w:rFonts w:ascii="Arial" w:hAnsi="Arial" w:cs="Arial"/>
          <w:i/>
          <w:sz w:val="20"/>
          <w:szCs w:val="20"/>
          <w:lang w:val="es-ES"/>
        </w:rPr>
      </w:pPr>
    </w:p>
    <w:p w14:paraId="45269A13" w14:textId="606D1A51" w:rsidR="00C2673D" w:rsidRPr="00014A4E" w:rsidRDefault="001C436D" w:rsidP="00617C5D">
      <w:pPr>
        <w:spacing w:after="0" w:line="240" w:lineRule="auto"/>
        <w:ind w:left="-283"/>
        <w:rPr>
          <w:rFonts w:ascii="Arial" w:hAnsi="Arial" w:cs="Arial"/>
          <w:i/>
          <w:sz w:val="20"/>
          <w:szCs w:val="20"/>
          <w:lang w:val="es-ES"/>
        </w:rPr>
      </w:pPr>
      <w:r w:rsidRPr="00014A4E">
        <w:rPr>
          <w:rFonts w:ascii="Arial" w:hAnsi="Arial" w:cs="Arial"/>
          <w:i/>
          <w:iCs/>
          <w:sz w:val="20"/>
          <w:szCs w:val="20"/>
          <w:lang w:val="es"/>
        </w:rPr>
        <w:t xml:space="preserve">El 21 de diciembre de 2023, el fiscal del Tribunal de Seguridad del Estado citó y detuvo a </w:t>
      </w:r>
      <w:proofErr w:type="spellStart"/>
      <w:r w:rsidRPr="00014A4E">
        <w:rPr>
          <w:rFonts w:ascii="Arial" w:hAnsi="Arial" w:cs="Arial"/>
          <w:i/>
          <w:iCs/>
          <w:sz w:val="20"/>
          <w:szCs w:val="20"/>
          <w:lang w:val="es"/>
        </w:rPr>
        <w:t>Ayman</w:t>
      </w:r>
      <w:proofErr w:type="spellEnd"/>
      <w:r w:rsidRPr="00014A4E">
        <w:rPr>
          <w:rFonts w:ascii="Arial" w:hAnsi="Arial" w:cs="Arial"/>
          <w:i/>
          <w:iCs/>
          <w:sz w:val="20"/>
          <w:szCs w:val="20"/>
          <w:lang w:val="es"/>
        </w:rPr>
        <w:t xml:space="preserve"> </w:t>
      </w:r>
      <w:proofErr w:type="spellStart"/>
      <w:r w:rsidRPr="00014A4E">
        <w:rPr>
          <w:rFonts w:ascii="Arial" w:hAnsi="Arial" w:cs="Arial"/>
          <w:i/>
          <w:iCs/>
          <w:sz w:val="20"/>
          <w:szCs w:val="20"/>
          <w:lang w:val="es"/>
        </w:rPr>
        <w:t>Sanduka</w:t>
      </w:r>
      <w:proofErr w:type="spellEnd"/>
      <w:r w:rsidRPr="00014A4E">
        <w:rPr>
          <w:rFonts w:ascii="Arial" w:hAnsi="Arial" w:cs="Arial"/>
          <w:i/>
          <w:iCs/>
          <w:sz w:val="20"/>
          <w:szCs w:val="20"/>
          <w:lang w:val="es"/>
        </w:rPr>
        <w:t xml:space="preserve"> en relación con una carta dirigida a Su Majestad que había publicado en Facebook en octubre de ese año, en la que criticaba las relaciones diplomáticas de Jordania con Israel. El 7 de enero de 2025, el Tribunal de Seguridad del Estado declaró a </w:t>
      </w:r>
      <w:proofErr w:type="spellStart"/>
      <w:r w:rsidRPr="00014A4E">
        <w:rPr>
          <w:rFonts w:ascii="Arial" w:hAnsi="Arial" w:cs="Arial"/>
          <w:i/>
          <w:iCs/>
          <w:sz w:val="20"/>
          <w:szCs w:val="20"/>
          <w:lang w:val="es"/>
        </w:rPr>
        <w:t>Ayman</w:t>
      </w:r>
      <w:proofErr w:type="spellEnd"/>
      <w:r w:rsidRPr="00014A4E">
        <w:rPr>
          <w:rFonts w:ascii="Arial" w:hAnsi="Arial" w:cs="Arial"/>
          <w:i/>
          <w:iCs/>
          <w:sz w:val="20"/>
          <w:szCs w:val="20"/>
          <w:lang w:val="es"/>
        </w:rPr>
        <w:t xml:space="preserve"> </w:t>
      </w:r>
      <w:proofErr w:type="spellStart"/>
      <w:r w:rsidRPr="00014A4E">
        <w:rPr>
          <w:rFonts w:ascii="Arial" w:hAnsi="Arial" w:cs="Arial"/>
          <w:i/>
          <w:iCs/>
          <w:sz w:val="20"/>
          <w:szCs w:val="20"/>
          <w:lang w:val="es"/>
        </w:rPr>
        <w:t>Sanduka</w:t>
      </w:r>
      <w:proofErr w:type="spellEnd"/>
      <w:r w:rsidRPr="00014A4E">
        <w:rPr>
          <w:rFonts w:ascii="Arial" w:hAnsi="Arial" w:cs="Arial"/>
          <w:i/>
          <w:iCs/>
          <w:sz w:val="20"/>
          <w:szCs w:val="20"/>
          <w:lang w:val="es"/>
        </w:rPr>
        <w:t xml:space="preserve"> culpable de “incitación a oponerse al régimen político” en virtud del artículo 149 del Código Penal y del artículo 15 de la Ley de Delitos Informáticos, y lo condenó a cinco años de cárcel. </w:t>
      </w:r>
    </w:p>
    <w:p w14:paraId="749D6674" w14:textId="77777777" w:rsidR="00C2673D" w:rsidRPr="00014A4E" w:rsidRDefault="00C2673D" w:rsidP="00C2673D">
      <w:pPr>
        <w:spacing w:after="0" w:line="240" w:lineRule="auto"/>
        <w:ind w:left="-283"/>
        <w:rPr>
          <w:rFonts w:ascii="Arial" w:hAnsi="Arial" w:cs="Arial"/>
          <w:bCs/>
          <w:i/>
          <w:sz w:val="20"/>
          <w:szCs w:val="20"/>
          <w:lang w:val="es-ES"/>
        </w:rPr>
      </w:pPr>
    </w:p>
    <w:p w14:paraId="11BF9B33" w14:textId="340FAE4F" w:rsidR="00C2673D" w:rsidRPr="00014A4E" w:rsidRDefault="00C2673D" w:rsidP="00DE5C1D">
      <w:pPr>
        <w:spacing w:after="0" w:line="240" w:lineRule="auto"/>
        <w:ind w:left="-283"/>
        <w:rPr>
          <w:rFonts w:ascii="Arial" w:hAnsi="Arial" w:cs="Arial"/>
          <w:bCs/>
          <w:i/>
          <w:sz w:val="20"/>
          <w:szCs w:val="20"/>
          <w:lang w:val="es-ES"/>
        </w:rPr>
      </w:pPr>
      <w:r w:rsidRPr="00014A4E">
        <w:rPr>
          <w:rFonts w:ascii="Arial" w:hAnsi="Arial" w:cs="Arial"/>
          <w:i/>
          <w:iCs/>
          <w:sz w:val="20"/>
          <w:szCs w:val="20"/>
          <w:lang w:val="es"/>
        </w:rPr>
        <w:t xml:space="preserve">La detención de </w:t>
      </w:r>
      <w:proofErr w:type="spellStart"/>
      <w:r w:rsidRPr="00014A4E">
        <w:rPr>
          <w:rFonts w:ascii="Arial" w:hAnsi="Arial" w:cs="Arial"/>
          <w:i/>
          <w:iCs/>
          <w:sz w:val="20"/>
          <w:szCs w:val="20"/>
          <w:lang w:val="es"/>
        </w:rPr>
        <w:t>Ayman</w:t>
      </w:r>
      <w:proofErr w:type="spellEnd"/>
      <w:r w:rsidRPr="00014A4E">
        <w:rPr>
          <w:rFonts w:ascii="Arial" w:hAnsi="Arial" w:cs="Arial"/>
          <w:i/>
          <w:iCs/>
          <w:sz w:val="20"/>
          <w:szCs w:val="20"/>
          <w:lang w:val="es"/>
        </w:rPr>
        <w:t xml:space="preserve"> </w:t>
      </w:r>
      <w:proofErr w:type="spellStart"/>
      <w:r w:rsidRPr="00014A4E">
        <w:rPr>
          <w:rFonts w:ascii="Arial" w:hAnsi="Arial" w:cs="Arial"/>
          <w:i/>
          <w:iCs/>
          <w:sz w:val="20"/>
          <w:szCs w:val="20"/>
          <w:lang w:val="es"/>
        </w:rPr>
        <w:t>Sanduka</w:t>
      </w:r>
      <w:proofErr w:type="spellEnd"/>
      <w:r w:rsidRPr="00014A4E">
        <w:rPr>
          <w:rFonts w:ascii="Arial" w:hAnsi="Arial" w:cs="Arial"/>
          <w:i/>
          <w:iCs/>
          <w:sz w:val="20"/>
          <w:szCs w:val="20"/>
          <w:lang w:val="es"/>
        </w:rPr>
        <w:t xml:space="preserve"> se debe exclusivamente al ejercicio legítimo de su derecho a la libertad de expresión. Utilizar el arresto y la detención para castigar el ejercicio legítimo de los derechos humanos, incluido el derecho a la libertad de expresión, es arbitrario y vulnera las obligaciones contraídas por Jordania en virtud del derecho internacional, incluido el Pacto Internacional de Derechos Civiles y Políticos.</w:t>
      </w:r>
    </w:p>
    <w:p w14:paraId="6EAD2F1B" w14:textId="77777777" w:rsidR="00C2673D" w:rsidRPr="00014A4E" w:rsidRDefault="00C2673D" w:rsidP="00C2673D">
      <w:pPr>
        <w:spacing w:after="0" w:line="240" w:lineRule="auto"/>
        <w:ind w:left="-283"/>
        <w:rPr>
          <w:rFonts w:ascii="Arial" w:hAnsi="Arial" w:cs="Arial"/>
          <w:b/>
          <w:i/>
          <w:sz w:val="20"/>
          <w:szCs w:val="20"/>
          <w:lang w:val="es-ES"/>
        </w:rPr>
      </w:pPr>
    </w:p>
    <w:p w14:paraId="65B58920" w14:textId="3669A68F" w:rsidR="00EA68CE" w:rsidRPr="00014A4E" w:rsidRDefault="001C436D" w:rsidP="00C2673D">
      <w:pPr>
        <w:spacing w:after="0" w:line="240" w:lineRule="auto"/>
        <w:ind w:left="-283"/>
        <w:rPr>
          <w:rFonts w:ascii="Arial" w:hAnsi="Arial" w:cs="Arial"/>
          <w:bCs/>
          <w:i/>
          <w:sz w:val="20"/>
          <w:szCs w:val="20"/>
          <w:lang w:val="es-ES"/>
        </w:rPr>
      </w:pPr>
      <w:r w:rsidRPr="00014A4E">
        <w:rPr>
          <w:rFonts w:ascii="Arial" w:hAnsi="Arial" w:cs="Arial"/>
          <w:b/>
          <w:bCs/>
          <w:i/>
          <w:iCs/>
          <w:sz w:val="20"/>
          <w:szCs w:val="20"/>
          <w:lang w:val="es"/>
        </w:rPr>
        <w:t xml:space="preserve">Le insto a que garantice que </w:t>
      </w:r>
      <w:proofErr w:type="spellStart"/>
      <w:r w:rsidRPr="00014A4E">
        <w:rPr>
          <w:rFonts w:ascii="Arial" w:hAnsi="Arial" w:cs="Arial"/>
          <w:b/>
          <w:bCs/>
          <w:i/>
          <w:iCs/>
          <w:sz w:val="20"/>
          <w:szCs w:val="20"/>
          <w:lang w:val="es"/>
        </w:rPr>
        <w:t>Ayman</w:t>
      </w:r>
      <w:proofErr w:type="spellEnd"/>
      <w:r w:rsidRPr="00014A4E">
        <w:rPr>
          <w:rFonts w:ascii="Arial" w:hAnsi="Arial" w:cs="Arial"/>
          <w:b/>
          <w:bCs/>
          <w:i/>
          <w:iCs/>
          <w:sz w:val="20"/>
          <w:szCs w:val="20"/>
          <w:lang w:val="es"/>
        </w:rPr>
        <w:t xml:space="preserve"> </w:t>
      </w:r>
      <w:proofErr w:type="spellStart"/>
      <w:r w:rsidRPr="00014A4E">
        <w:rPr>
          <w:rFonts w:ascii="Arial" w:hAnsi="Arial" w:cs="Arial"/>
          <w:b/>
          <w:bCs/>
          <w:i/>
          <w:iCs/>
          <w:sz w:val="20"/>
          <w:szCs w:val="20"/>
          <w:lang w:val="es"/>
        </w:rPr>
        <w:t>Sanduka</w:t>
      </w:r>
      <w:proofErr w:type="spellEnd"/>
      <w:r w:rsidRPr="00014A4E">
        <w:rPr>
          <w:rFonts w:ascii="Arial" w:hAnsi="Arial" w:cs="Arial"/>
          <w:b/>
          <w:bCs/>
          <w:i/>
          <w:iCs/>
          <w:sz w:val="20"/>
          <w:szCs w:val="20"/>
          <w:lang w:val="es"/>
        </w:rPr>
        <w:t xml:space="preserve"> es puesto en libertad de inmediato y sin condiciones, ya que ha sido condenado únicamente por el ejercicio pacífico de su derecho a la libertad de expresión. Hasta que sea puesto en libertad, lo insto a asegurarse de que este hombre es protegido contra la tortura y otros tratos o penas crueles, inhumanos o degradantes, y tiene acceso a atención médica adecuada si la solicita o si es necesaria.</w:t>
      </w:r>
      <w:r w:rsidRPr="00014A4E">
        <w:rPr>
          <w:rFonts w:ascii="Arial" w:hAnsi="Arial" w:cs="Arial"/>
          <w:sz w:val="20"/>
          <w:szCs w:val="20"/>
          <w:lang w:val="es"/>
        </w:rPr>
        <w:cr/>
      </w:r>
    </w:p>
    <w:p w14:paraId="2F4A48B3" w14:textId="77777777" w:rsidR="00014A4E" w:rsidRDefault="005D2C37" w:rsidP="00DE5C1D">
      <w:pPr>
        <w:spacing w:after="0" w:line="240" w:lineRule="auto"/>
        <w:ind w:left="-283"/>
        <w:rPr>
          <w:rFonts w:ascii="Arial" w:hAnsi="Arial" w:cs="Arial"/>
          <w:i/>
          <w:iCs/>
          <w:sz w:val="20"/>
          <w:szCs w:val="20"/>
          <w:lang w:val="es"/>
        </w:rPr>
      </w:pPr>
      <w:r w:rsidRPr="00014A4E">
        <w:rPr>
          <w:rFonts w:ascii="Arial" w:hAnsi="Arial" w:cs="Arial"/>
          <w:i/>
          <w:iCs/>
          <w:sz w:val="20"/>
          <w:szCs w:val="20"/>
          <w:lang w:val="es"/>
        </w:rPr>
        <w:t xml:space="preserve">Atentamente, </w:t>
      </w:r>
    </w:p>
    <w:p w14:paraId="228CFFFD" w14:textId="04CC5E4C" w:rsidR="005D2C37" w:rsidRPr="00014A4E" w:rsidRDefault="005D2C37" w:rsidP="00DE5C1D">
      <w:pPr>
        <w:spacing w:after="0" w:line="240" w:lineRule="auto"/>
        <w:ind w:left="-283"/>
        <w:rPr>
          <w:rFonts w:ascii="Arial" w:hAnsi="Arial" w:cs="Arial"/>
          <w:i/>
          <w:sz w:val="20"/>
          <w:szCs w:val="20"/>
          <w:lang w:val="es-ES"/>
        </w:rPr>
      </w:pPr>
      <w:r w:rsidRPr="00014A4E">
        <w:rPr>
          <w:rFonts w:ascii="Arial" w:hAnsi="Arial" w:cs="Arial"/>
          <w:i/>
          <w:iCs/>
          <w:sz w:val="20"/>
          <w:szCs w:val="20"/>
          <w:lang w:val="es"/>
        </w:rPr>
        <w:t>[NOMBRE]</w:t>
      </w:r>
    </w:p>
    <w:p w14:paraId="23BBCD82" w14:textId="77777777" w:rsidR="003F5B56" w:rsidRPr="00014A4E" w:rsidRDefault="003F5B56" w:rsidP="00DE5C1D">
      <w:pPr>
        <w:spacing w:after="0" w:line="240" w:lineRule="auto"/>
        <w:ind w:left="-283"/>
        <w:rPr>
          <w:rFonts w:ascii="Arial" w:hAnsi="Arial" w:cs="Arial"/>
          <w:i/>
          <w:sz w:val="20"/>
          <w:szCs w:val="20"/>
          <w:lang w:val="es-ES"/>
        </w:rPr>
      </w:pPr>
    </w:p>
    <w:p w14:paraId="67E06EE0" w14:textId="77777777" w:rsidR="003F5B56" w:rsidRPr="00014A4E" w:rsidRDefault="003F5B56" w:rsidP="00DE5C1D">
      <w:pPr>
        <w:spacing w:after="0" w:line="240" w:lineRule="auto"/>
        <w:ind w:left="-283"/>
        <w:rPr>
          <w:rFonts w:ascii="Arial" w:hAnsi="Arial" w:cs="Arial"/>
          <w:i/>
          <w:sz w:val="20"/>
          <w:szCs w:val="20"/>
          <w:lang w:val="es-ES"/>
        </w:rPr>
      </w:pPr>
    </w:p>
    <w:p w14:paraId="33C9EF6D" w14:textId="77777777" w:rsidR="003F5B56" w:rsidRPr="00014A4E" w:rsidRDefault="003F5B56" w:rsidP="00DE5C1D">
      <w:pPr>
        <w:spacing w:after="0" w:line="240" w:lineRule="auto"/>
        <w:ind w:left="-283"/>
        <w:rPr>
          <w:rFonts w:ascii="Arial" w:hAnsi="Arial" w:cs="Arial"/>
          <w:i/>
          <w:sz w:val="20"/>
          <w:szCs w:val="20"/>
          <w:lang w:val="es-ES"/>
        </w:rPr>
      </w:pPr>
    </w:p>
    <w:p w14:paraId="5807E780" w14:textId="77777777" w:rsidR="003F5B56" w:rsidRPr="00014A4E" w:rsidRDefault="003F5B56" w:rsidP="00DE5C1D">
      <w:pPr>
        <w:spacing w:after="0" w:line="240" w:lineRule="auto"/>
        <w:ind w:left="-283"/>
        <w:rPr>
          <w:rFonts w:ascii="Arial" w:hAnsi="Arial" w:cs="Arial"/>
          <w:i/>
          <w:sz w:val="20"/>
          <w:szCs w:val="20"/>
          <w:lang w:val="es-ES"/>
        </w:rPr>
      </w:pPr>
    </w:p>
    <w:p w14:paraId="0520C88C" w14:textId="4FD3D29E" w:rsidR="00014A4E" w:rsidRDefault="00014A4E">
      <w:pPr>
        <w:widowControl/>
        <w:suppressAutoHyphens w:val="0"/>
        <w:spacing w:after="0" w:line="240" w:lineRule="auto"/>
        <w:rPr>
          <w:rFonts w:ascii="Arial" w:hAnsi="Arial" w:cs="Arial"/>
          <w:i/>
          <w:sz w:val="20"/>
          <w:szCs w:val="20"/>
          <w:lang w:val="es-ES"/>
        </w:rPr>
      </w:pPr>
      <w:r>
        <w:rPr>
          <w:rFonts w:ascii="Arial" w:hAnsi="Arial" w:cs="Arial"/>
          <w:i/>
          <w:sz w:val="20"/>
          <w:szCs w:val="20"/>
          <w:lang w:val="es-ES"/>
        </w:rPr>
        <w:br w:type="page"/>
      </w:r>
    </w:p>
    <w:p w14:paraId="0C43DE34" w14:textId="77777777" w:rsidR="003F5B56" w:rsidRPr="00014A4E" w:rsidRDefault="003F5B56" w:rsidP="003F5B56">
      <w:pPr>
        <w:spacing w:after="0" w:line="240" w:lineRule="auto"/>
        <w:rPr>
          <w:rFonts w:ascii="Arial" w:hAnsi="Arial" w:cs="Arial"/>
          <w:i/>
          <w:sz w:val="20"/>
          <w:szCs w:val="20"/>
          <w:lang w:val="es-ES"/>
        </w:rPr>
      </w:pPr>
    </w:p>
    <w:p w14:paraId="164547CF" w14:textId="77777777" w:rsidR="0082127B" w:rsidRPr="00014A4E" w:rsidRDefault="0082127B" w:rsidP="0082127B">
      <w:pPr>
        <w:pStyle w:val="AIBoxHeading"/>
        <w:shd w:val="clear" w:color="auto" w:fill="D9D9D9" w:themeFill="background1" w:themeFillShade="D9"/>
        <w:rPr>
          <w:rFonts w:ascii="Arial" w:hAnsi="Arial" w:cs="Arial"/>
          <w:b/>
          <w:sz w:val="32"/>
          <w:szCs w:val="32"/>
          <w:lang w:val="es-ES"/>
        </w:rPr>
      </w:pPr>
      <w:r w:rsidRPr="00014A4E">
        <w:rPr>
          <w:rFonts w:ascii="Arial" w:hAnsi="Arial" w:cs="Arial"/>
          <w:b/>
          <w:bCs/>
          <w:sz w:val="32"/>
          <w:szCs w:val="32"/>
          <w:lang w:val="es"/>
        </w:rPr>
        <w:t>Información complementaria</w:t>
      </w:r>
    </w:p>
    <w:p w14:paraId="7AE07AD5" w14:textId="77777777" w:rsidR="005D2C37" w:rsidRPr="00014A4E" w:rsidRDefault="005D2C37" w:rsidP="00980425">
      <w:pPr>
        <w:spacing w:line="240" w:lineRule="auto"/>
        <w:jc w:val="both"/>
        <w:rPr>
          <w:rFonts w:ascii="Arial" w:hAnsi="Arial" w:cs="Arial"/>
          <w:sz w:val="2"/>
          <w:szCs w:val="2"/>
          <w:lang w:val="es-ES"/>
        </w:rPr>
      </w:pPr>
    </w:p>
    <w:p w14:paraId="6E838CE3" w14:textId="77777777" w:rsidR="00BC5BA5" w:rsidRPr="00014A4E" w:rsidRDefault="00696496" w:rsidP="00980425">
      <w:pPr>
        <w:spacing w:line="240" w:lineRule="auto"/>
        <w:rPr>
          <w:rFonts w:ascii="Arial" w:hAnsi="Arial" w:cs="Arial"/>
          <w:sz w:val="20"/>
          <w:szCs w:val="20"/>
          <w:lang w:val="es-ES"/>
        </w:rPr>
      </w:pPr>
      <w:proofErr w:type="spellStart"/>
      <w:r w:rsidRPr="00014A4E">
        <w:rPr>
          <w:rFonts w:ascii="Arial" w:hAnsi="Arial" w:cs="Arial"/>
          <w:sz w:val="20"/>
          <w:szCs w:val="20"/>
          <w:lang w:val="es"/>
        </w:rPr>
        <w:t>Ayman</w:t>
      </w:r>
      <w:proofErr w:type="spellEnd"/>
      <w:r w:rsidRPr="00014A4E">
        <w:rPr>
          <w:rFonts w:ascii="Arial" w:hAnsi="Arial" w:cs="Arial"/>
          <w:sz w:val="20"/>
          <w:szCs w:val="20"/>
          <w:lang w:val="es"/>
        </w:rPr>
        <w:t xml:space="preserve"> </w:t>
      </w:r>
      <w:proofErr w:type="spellStart"/>
      <w:r w:rsidRPr="00014A4E">
        <w:rPr>
          <w:rFonts w:ascii="Arial" w:hAnsi="Arial" w:cs="Arial"/>
          <w:sz w:val="20"/>
          <w:szCs w:val="20"/>
          <w:lang w:val="es"/>
        </w:rPr>
        <w:t>Sanduka</w:t>
      </w:r>
      <w:proofErr w:type="spellEnd"/>
      <w:r w:rsidRPr="00014A4E">
        <w:rPr>
          <w:rFonts w:ascii="Arial" w:hAnsi="Arial" w:cs="Arial"/>
          <w:sz w:val="20"/>
          <w:szCs w:val="20"/>
          <w:lang w:val="es"/>
        </w:rPr>
        <w:t xml:space="preserve"> fue citado inicialmente por la fiscalía el 18 de diciembre de 2023 en relación con unas publicaciones en Facebook que expresaban opiniones </w:t>
      </w:r>
      <w:proofErr w:type="spellStart"/>
      <w:r w:rsidRPr="00014A4E">
        <w:rPr>
          <w:rFonts w:ascii="Arial" w:hAnsi="Arial" w:cs="Arial"/>
          <w:sz w:val="20"/>
          <w:szCs w:val="20"/>
          <w:lang w:val="es"/>
        </w:rPr>
        <w:t>propalestinas</w:t>
      </w:r>
      <w:proofErr w:type="spellEnd"/>
      <w:r w:rsidRPr="00014A4E">
        <w:rPr>
          <w:rFonts w:ascii="Arial" w:hAnsi="Arial" w:cs="Arial"/>
          <w:sz w:val="20"/>
          <w:szCs w:val="20"/>
          <w:lang w:val="es"/>
        </w:rPr>
        <w:t xml:space="preserve"> y llamaban a una huelga general para apoyar a Gaza. El 21 de diciembre de 2023, el fiscal del Tribunal de Seguridad del Estado lo citó y lo detuvo en relación con una carta dirigida al rey de Jordania que </w:t>
      </w:r>
      <w:proofErr w:type="spellStart"/>
      <w:r w:rsidRPr="00014A4E">
        <w:rPr>
          <w:rFonts w:ascii="Arial" w:hAnsi="Arial" w:cs="Arial"/>
          <w:sz w:val="20"/>
          <w:szCs w:val="20"/>
          <w:lang w:val="es"/>
        </w:rPr>
        <w:t>Ayman</w:t>
      </w:r>
      <w:proofErr w:type="spellEnd"/>
      <w:r w:rsidRPr="00014A4E">
        <w:rPr>
          <w:rFonts w:ascii="Arial" w:hAnsi="Arial" w:cs="Arial"/>
          <w:sz w:val="20"/>
          <w:szCs w:val="20"/>
          <w:lang w:val="es"/>
        </w:rPr>
        <w:t xml:space="preserve"> </w:t>
      </w:r>
      <w:proofErr w:type="spellStart"/>
      <w:r w:rsidRPr="00014A4E">
        <w:rPr>
          <w:rFonts w:ascii="Arial" w:hAnsi="Arial" w:cs="Arial"/>
          <w:sz w:val="20"/>
          <w:szCs w:val="20"/>
          <w:lang w:val="es"/>
        </w:rPr>
        <w:t>Sanduka</w:t>
      </w:r>
      <w:proofErr w:type="spellEnd"/>
      <w:r w:rsidRPr="00014A4E">
        <w:rPr>
          <w:rFonts w:ascii="Arial" w:hAnsi="Arial" w:cs="Arial"/>
          <w:sz w:val="20"/>
          <w:szCs w:val="20"/>
          <w:lang w:val="es"/>
        </w:rPr>
        <w:t xml:space="preserve"> había publicado en Facebook en octubre de ese año, en la que criticaba las relaciones diplomáticas de Jordania con Israel. </w:t>
      </w:r>
    </w:p>
    <w:p w14:paraId="3C972465" w14:textId="257BF193" w:rsidR="005D2C37" w:rsidRPr="00014A4E" w:rsidRDefault="00696496" w:rsidP="00BC5BA5">
      <w:pPr>
        <w:spacing w:line="240" w:lineRule="auto"/>
        <w:rPr>
          <w:rFonts w:ascii="Arial" w:hAnsi="Arial" w:cs="Arial"/>
          <w:sz w:val="20"/>
          <w:szCs w:val="20"/>
          <w:lang w:val="es-ES"/>
        </w:rPr>
      </w:pPr>
      <w:r w:rsidRPr="00014A4E">
        <w:rPr>
          <w:rFonts w:ascii="Arial" w:hAnsi="Arial" w:cs="Arial"/>
          <w:sz w:val="20"/>
          <w:szCs w:val="20"/>
          <w:lang w:val="es"/>
        </w:rPr>
        <w:t xml:space="preserve">Según su abogado, el 23 de enero de 2024 </w:t>
      </w:r>
      <w:proofErr w:type="spellStart"/>
      <w:r w:rsidRPr="00014A4E">
        <w:rPr>
          <w:rFonts w:ascii="Arial" w:hAnsi="Arial" w:cs="Arial"/>
          <w:sz w:val="20"/>
          <w:szCs w:val="20"/>
          <w:lang w:val="es"/>
        </w:rPr>
        <w:t>Ayman</w:t>
      </w:r>
      <w:proofErr w:type="spellEnd"/>
      <w:r w:rsidRPr="00014A4E">
        <w:rPr>
          <w:rFonts w:ascii="Arial" w:hAnsi="Arial" w:cs="Arial"/>
          <w:sz w:val="20"/>
          <w:szCs w:val="20"/>
          <w:lang w:val="es"/>
        </w:rPr>
        <w:t xml:space="preserve"> </w:t>
      </w:r>
      <w:proofErr w:type="spellStart"/>
      <w:r w:rsidRPr="00014A4E">
        <w:rPr>
          <w:rFonts w:ascii="Arial" w:hAnsi="Arial" w:cs="Arial"/>
          <w:sz w:val="20"/>
          <w:szCs w:val="20"/>
          <w:lang w:val="es"/>
        </w:rPr>
        <w:t>Sanduka</w:t>
      </w:r>
      <w:proofErr w:type="spellEnd"/>
      <w:r w:rsidRPr="00014A4E">
        <w:rPr>
          <w:rFonts w:ascii="Arial" w:hAnsi="Arial" w:cs="Arial"/>
          <w:sz w:val="20"/>
          <w:szCs w:val="20"/>
          <w:lang w:val="es"/>
        </w:rPr>
        <w:t xml:space="preserve"> fue trasladado de la prisión de </w:t>
      </w:r>
      <w:proofErr w:type="spellStart"/>
      <w:r w:rsidRPr="00014A4E">
        <w:rPr>
          <w:rFonts w:ascii="Arial" w:hAnsi="Arial" w:cs="Arial"/>
          <w:sz w:val="20"/>
          <w:szCs w:val="20"/>
          <w:lang w:val="es"/>
        </w:rPr>
        <w:t>Marka</w:t>
      </w:r>
      <w:proofErr w:type="spellEnd"/>
      <w:r w:rsidRPr="00014A4E">
        <w:rPr>
          <w:rFonts w:ascii="Arial" w:hAnsi="Arial" w:cs="Arial"/>
          <w:sz w:val="20"/>
          <w:szCs w:val="20"/>
          <w:lang w:val="es"/>
        </w:rPr>
        <w:t xml:space="preserve">, en Ammán, a la prisión de Al </w:t>
      </w:r>
      <w:proofErr w:type="spellStart"/>
      <w:r w:rsidRPr="00014A4E">
        <w:rPr>
          <w:rFonts w:ascii="Arial" w:hAnsi="Arial" w:cs="Arial"/>
          <w:sz w:val="20"/>
          <w:szCs w:val="20"/>
          <w:lang w:val="es"/>
        </w:rPr>
        <w:t>Tafilah</w:t>
      </w:r>
      <w:proofErr w:type="spellEnd"/>
      <w:r w:rsidRPr="00014A4E">
        <w:rPr>
          <w:rFonts w:ascii="Arial" w:hAnsi="Arial" w:cs="Arial"/>
          <w:sz w:val="20"/>
          <w:szCs w:val="20"/>
          <w:lang w:val="es"/>
        </w:rPr>
        <w:t xml:space="preserve">, a unos 300 km de su ciudad natal, por lo que a su familia le resulta sumamente difícil visitarlo. Las fuerzas de seguridad también lo sometieron a humillaciones verbales, y, durante su traslado, le amarraron fuertemente las manos y los pies. El 24 de enero de 2024, al amparo de la nueva Ley de Delitos Informáticos, un tribunal de lo penal condenó a </w:t>
      </w:r>
      <w:proofErr w:type="spellStart"/>
      <w:r w:rsidRPr="00014A4E">
        <w:rPr>
          <w:rFonts w:ascii="Arial" w:hAnsi="Arial" w:cs="Arial"/>
          <w:sz w:val="20"/>
          <w:szCs w:val="20"/>
          <w:lang w:val="es"/>
        </w:rPr>
        <w:t>Ayman</w:t>
      </w:r>
      <w:proofErr w:type="spellEnd"/>
      <w:r w:rsidRPr="00014A4E">
        <w:rPr>
          <w:rFonts w:ascii="Arial" w:hAnsi="Arial" w:cs="Arial"/>
          <w:sz w:val="20"/>
          <w:szCs w:val="20"/>
          <w:lang w:val="es"/>
        </w:rPr>
        <w:t xml:space="preserve"> </w:t>
      </w:r>
      <w:proofErr w:type="spellStart"/>
      <w:r w:rsidRPr="00014A4E">
        <w:rPr>
          <w:rFonts w:ascii="Arial" w:hAnsi="Arial" w:cs="Arial"/>
          <w:sz w:val="20"/>
          <w:szCs w:val="20"/>
          <w:lang w:val="es"/>
        </w:rPr>
        <w:t>Sanduka</w:t>
      </w:r>
      <w:proofErr w:type="spellEnd"/>
      <w:r w:rsidRPr="00014A4E">
        <w:rPr>
          <w:rFonts w:ascii="Arial" w:hAnsi="Arial" w:cs="Arial"/>
          <w:sz w:val="20"/>
          <w:szCs w:val="20"/>
          <w:lang w:val="es"/>
        </w:rPr>
        <w:t xml:space="preserve"> en otra causa diferente a tres meses de prisión por cargos de “difamación a un organismo oficial”. El 12 de febrero de 2024, un fiscal del Tribunal de Seguridad del Estado acusó a </w:t>
      </w:r>
      <w:proofErr w:type="spellStart"/>
      <w:r w:rsidRPr="00014A4E">
        <w:rPr>
          <w:rFonts w:ascii="Arial" w:hAnsi="Arial" w:cs="Arial"/>
          <w:sz w:val="20"/>
          <w:szCs w:val="20"/>
          <w:lang w:val="es"/>
        </w:rPr>
        <w:t>Ayman</w:t>
      </w:r>
      <w:proofErr w:type="spellEnd"/>
      <w:r w:rsidRPr="00014A4E">
        <w:rPr>
          <w:rFonts w:ascii="Arial" w:hAnsi="Arial" w:cs="Arial"/>
          <w:sz w:val="20"/>
          <w:szCs w:val="20"/>
          <w:lang w:val="es"/>
        </w:rPr>
        <w:t xml:space="preserve"> </w:t>
      </w:r>
      <w:proofErr w:type="spellStart"/>
      <w:r w:rsidRPr="00014A4E">
        <w:rPr>
          <w:rFonts w:ascii="Arial" w:hAnsi="Arial" w:cs="Arial"/>
          <w:sz w:val="20"/>
          <w:szCs w:val="20"/>
          <w:lang w:val="es"/>
        </w:rPr>
        <w:t>Sanduka</w:t>
      </w:r>
      <w:proofErr w:type="spellEnd"/>
      <w:r w:rsidRPr="00014A4E">
        <w:rPr>
          <w:rFonts w:ascii="Arial" w:hAnsi="Arial" w:cs="Arial"/>
          <w:sz w:val="20"/>
          <w:szCs w:val="20"/>
          <w:lang w:val="es"/>
        </w:rPr>
        <w:t xml:space="preserve"> de “incitación a oponerse al régimen político” en virtud del artículo 149 del Código Penal. </w:t>
      </w:r>
    </w:p>
    <w:p w14:paraId="5092BB58" w14:textId="72356137" w:rsidR="00F43017" w:rsidRPr="00014A4E" w:rsidRDefault="00E3418F" w:rsidP="00E3418F">
      <w:pPr>
        <w:rPr>
          <w:rFonts w:ascii="Arial" w:hAnsi="Arial" w:cs="Arial"/>
          <w:sz w:val="20"/>
          <w:szCs w:val="20"/>
          <w:lang w:val="es-ES"/>
        </w:rPr>
      </w:pPr>
      <w:r w:rsidRPr="00014A4E">
        <w:rPr>
          <w:rFonts w:ascii="Arial" w:hAnsi="Arial" w:cs="Arial"/>
          <w:sz w:val="20"/>
          <w:szCs w:val="20"/>
          <w:lang w:val="es"/>
        </w:rPr>
        <w:t xml:space="preserve">El 7 de enero de 2025, el Tribunal de Seguridad del Estado declaró a </w:t>
      </w:r>
      <w:proofErr w:type="spellStart"/>
      <w:r w:rsidRPr="00014A4E">
        <w:rPr>
          <w:rFonts w:ascii="Arial" w:hAnsi="Arial" w:cs="Arial"/>
          <w:sz w:val="20"/>
          <w:szCs w:val="20"/>
          <w:lang w:val="es"/>
        </w:rPr>
        <w:t>Ayman</w:t>
      </w:r>
      <w:proofErr w:type="spellEnd"/>
      <w:r w:rsidRPr="00014A4E">
        <w:rPr>
          <w:rFonts w:ascii="Arial" w:hAnsi="Arial" w:cs="Arial"/>
          <w:sz w:val="20"/>
          <w:szCs w:val="20"/>
          <w:lang w:val="es"/>
        </w:rPr>
        <w:t xml:space="preserve"> </w:t>
      </w:r>
      <w:proofErr w:type="spellStart"/>
      <w:r w:rsidRPr="00014A4E">
        <w:rPr>
          <w:rFonts w:ascii="Arial" w:hAnsi="Arial" w:cs="Arial"/>
          <w:sz w:val="20"/>
          <w:szCs w:val="20"/>
          <w:lang w:val="es"/>
        </w:rPr>
        <w:t>Sanduka</w:t>
      </w:r>
      <w:proofErr w:type="spellEnd"/>
      <w:r w:rsidRPr="00014A4E">
        <w:rPr>
          <w:rFonts w:ascii="Arial" w:hAnsi="Arial" w:cs="Arial"/>
          <w:sz w:val="20"/>
          <w:szCs w:val="20"/>
          <w:lang w:val="es"/>
        </w:rPr>
        <w:t xml:space="preserve"> culpable de “incitación a oponerse al régimen político” en virtud del artículo 149 del Código Penal y del artículo 15 de la Ley de Delitos Informáticos, y lo condenó a cinco años de cárcel. Aunque la condena se dictó formalmente como cinco años de trabajos en virtud del artículo 149, en la práctica equivale a una pena de prisión.</w:t>
      </w:r>
    </w:p>
    <w:p w14:paraId="24E59146" w14:textId="1F662DEB" w:rsidR="00696496" w:rsidRPr="00014A4E" w:rsidRDefault="00C2673D" w:rsidP="00400997">
      <w:pPr>
        <w:spacing w:line="240" w:lineRule="auto"/>
        <w:rPr>
          <w:rFonts w:ascii="Arial" w:hAnsi="Arial" w:cs="Arial"/>
          <w:sz w:val="20"/>
          <w:szCs w:val="20"/>
          <w:lang w:val="es-ES"/>
        </w:rPr>
      </w:pPr>
      <w:r w:rsidRPr="00014A4E">
        <w:rPr>
          <w:rFonts w:ascii="Arial" w:hAnsi="Arial" w:cs="Arial"/>
          <w:sz w:val="20"/>
          <w:szCs w:val="20"/>
          <w:lang w:val="es"/>
        </w:rPr>
        <w:t xml:space="preserve">Desde la ofensiva israelí de octubre de 2023 en Gaza, las autoridades jordanas han utilizado como arma leyes excesivamente amplias, como la Ley de Delitos Informáticos, para atacar y acosar a periodistas, activistas y otras personas por expresar online opiniones críticas con las políticas gubernamentales relativas a Israel. Amnistía Internacional ha </w:t>
      </w:r>
      <w:hyperlink r:id="rId7" w:history="1">
        <w:r w:rsidRPr="00014A4E">
          <w:rPr>
            <w:rStyle w:val="Hipervnculo"/>
            <w:rFonts w:ascii="Arial" w:hAnsi="Arial" w:cs="Arial"/>
            <w:sz w:val="20"/>
            <w:szCs w:val="20"/>
            <w:lang w:val="es"/>
          </w:rPr>
          <w:t>documentado</w:t>
        </w:r>
      </w:hyperlink>
      <w:r w:rsidRPr="00014A4E">
        <w:rPr>
          <w:rFonts w:ascii="Arial" w:hAnsi="Arial" w:cs="Arial"/>
          <w:sz w:val="20"/>
          <w:szCs w:val="20"/>
          <w:lang w:val="es"/>
        </w:rPr>
        <w:t xml:space="preserve"> los casos de 15 personas que fueron procesadas en virtud del Código Penal y de la Ley de Delitos Informáticos tras criticar a las autoridades online. En todos estos casos, las autoridades violaron los derechos de las personas detenidas con actos como detenerlas sin orden judicial, no informarlas de los motivos de su citación o de los cargos contra ellas, interrogarlas sin la presencia de un abogado y utilizar tácticas de coacción psicológica e intimidación durante su interrogatorio o su juicio.</w:t>
      </w:r>
    </w:p>
    <w:p w14:paraId="0D5C1135" w14:textId="77777777" w:rsidR="00D23D90" w:rsidRPr="00014A4E" w:rsidRDefault="00D23D90" w:rsidP="00980425">
      <w:pPr>
        <w:spacing w:line="240" w:lineRule="auto"/>
        <w:rPr>
          <w:rFonts w:ascii="Arial" w:hAnsi="Arial" w:cs="Arial"/>
          <w:sz w:val="20"/>
          <w:szCs w:val="20"/>
          <w:lang w:val="es-ES"/>
        </w:rPr>
      </w:pPr>
    </w:p>
    <w:p w14:paraId="200CE1EB" w14:textId="77777777" w:rsidR="00D23D90" w:rsidRPr="00014A4E" w:rsidRDefault="00D23D90" w:rsidP="00980425">
      <w:pPr>
        <w:spacing w:line="240" w:lineRule="auto"/>
        <w:rPr>
          <w:rFonts w:ascii="Arial" w:hAnsi="Arial" w:cs="Arial"/>
          <w:sz w:val="20"/>
          <w:szCs w:val="20"/>
          <w:lang w:val="es-ES"/>
        </w:rPr>
      </w:pPr>
    </w:p>
    <w:p w14:paraId="2943A8AC" w14:textId="77777777" w:rsidR="00D23D90" w:rsidRPr="00014A4E" w:rsidRDefault="00D23D90" w:rsidP="00980425">
      <w:pPr>
        <w:spacing w:line="240" w:lineRule="auto"/>
        <w:rPr>
          <w:rFonts w:ascii="Arial" w:hAnsi="Arial" w:cs="Arial"/>
          <w:sz w:val="20"/>
          <w:szCs w:val="20"/>
          <w:lang w:val="es-ES"/>
        </w:rPr>
      </w:pPr>
    </w:p>
    <w:p w14:paraId="23AAA015" w14:textId="77777777" w:rsidR="00D23D90" w:rsidRPr="00014A4E" w:rsidRDefault="00D23D90" w:rsidP="00980425">
      <w:pPr>
        <w:spacing w:line="240" w:lineRule="auto"/>
        <w:rPr>
          <w:rFonts w:ascii="Arial" w:hAnsi="Arial" w:cs="Arial"/>
          <w:sz w:val="20"/>
          <w:szCs w:val="20"/>
          <w:lang w:val="es-ES"/>
        </w:rPr>
      </w:pPr>
    </w:p>
    <w:p w14:paraId="3F7F3431" w14:textId="77777777" w:rsidR="003F5B56" w:rsidRPr="00014A4E" w:rsidRDefault="003F5B56" w:rsidP="00980425">
      <w:pPr>
        <w:spacing w:line="240" w:lineRule="auto"/>
        <w:rPr>
          <w:rFonts w:ascii="Arial" w:hAnsi="Arial" w:cs="Arial"/>
          <w:sz w:val="20"/>
          <w:szCs w:val="20"/>
          <w:lang w:val="es-ES"/>
        </w:rPr>
      </w:pPr>
    </w:p>
    <w:p w14:paraId="01F5BBA9" w14:textId="77777777" w:rsidR="003F5B56" w:rsidRPr="00014A4E" w:rsidRDefault="003F5B56" w:rsidP="00980425">
      <w:pPr>
        <w:spacing w:line="240" w:lineRule="auto"/>
        <w:rPr>
          <w:rFonts w:ascii="Arial" w:hAnsi="Arial" w:cs="Arial"/>
          <w:sz w:val="20"/>
          <w:szCs w:val="20"/>
          <w:lang w:val="es-ES"/>
        </w:rPr>
      </w:pPr>
    </w:p>
    <w:p w14:paraId="0B2494E0" w14:textId="393D815E" w:rsidR="005D2C37" w:rsidRPr="00014A4E" w:rsidRDefault="005D2C37" w:rsidP="00980425">
      <w:pPr>
        <w:spacing w:after="0" w:line="240" w:lineRule="auto"/>
        <w:rPr>
          <w:rFonts w:ascii="Arial" w:hAnsi="Arial" w:cs="Arial"/>
          <w:b/>
          <w:sz w:val="20"/>
          <w:szCs w:val="20"/>
          <w:lang w:val="es-ES"/>
        </w:rPr>
      </w:pPr>
      <w:r w:rsidRPr="00014A4E">
        <w:rPr>
          <w:rFonts w:ascii="Arial" w:hAnsi="Arial" w:cs="Arial"/>
          <w:b/>
          <w:bCs/>
          <w:sz w:val="20"/>
          <w:szCs w:val="20"/>
          <w:lang w:val="es"/>
        </w:rPr>
        <w:t xml:space="preserve">PUEDEN ESCRIBIR LLAMAMIENTOS EN: </w:t>
      </w:r>
      <w:r w:rsidRPr="00014A4E">
        <w:rPr>
          <w:rFonts w:ascii="Arial" w:hAnsi="Arial" w:cs="Arial"/>
          <w:sz w:val="20"/>
          <w:szCs w:val="20"/>
          <w:lang w:val="es"/>
        </w:rPr>
        <w:t>inglés y árabe.</w:t>
      </w:r>
    </w:p>
    <w:p w14:paraId="156FFE24" w14:textId="77777777" w:rsidR="005D2C37" w:rsidRPr="00014A4E" w:rsidRDefault="005D2C37" w:rsidP="00980425">
      <w:pPr>
        <w:spacing w:after="0" w:line="240" w:lineRule="auto"/>
        <w:rPr>
          <w:rFonts w:ascii="Arial" w:hAnsi="Arial" w:cs="Arial"/>
          <w:color w:val="0070C0"/>
          <w:sz w:val="20"/>
          <w:szCs w:val="20"/>
          <w:lang w:val="es-ES"/>
        </w:rPr>
      </w:pPr>
      <w:r w:rsidRPr="00014A4E">
        <w:rPr>
          <w:rFonts w:ascii="Arial" w:hAnsi="Arial" w:cs="Arial"/>
          <w:sz w:val="20"/>
          <w:szCs w:val="20"/>
          <w:lang w:val="es"/>
        </w:rPr>
        <w:t>También pueden escribir en su propio idioma.</w:t>
      </w:r>
    </w:p>
    <w:p w14:paraId="0475575D" w14:textId="77777777" w:rsidR="005D2C37" w:rsidRPr="00014A4E" w:rsidRDefault="005D2C37" w:rsidP="00980425">
      <w:pPr>
        <w:spacing w:after="0" w:line="240" w:lineRule="auto"/>
        <w:rPr>
          <w:rFonts w:ascii="Arial" w:hAnsi="Arial" w:cs="Arial"/>
          <w:color w:val="0070C0"/>
          <w:sz w:val="20"/>
          <w:szCs w:val="20"/>
          <w:lang w:val="es-ES"/>
        </w:rPr>
      </w:pPr>
    </w:p>
    <w:p w14:paraId="24A54BAD" w14:textId="59B7D8D5" w:rsidR="005D2C37" w:rsidRPr="00014A4E" w:rsidRDefault="005D2C37" w:rsidP="00980425">
      <w:pPr>
        <w:spacing w:after="0" w:line="240" w:lineRule="auto"/>
        <w:rPr>
          <w:rFonts w:ascii="Arial" w:hAnsi="Arial" w:cs="Arial"/>
          <w:sz w:val="20"/>
          <w:szCs w:val="20"/>
          <w:lang w:val="es-ES"/>
        </w:rPr>
      </w:pPr>
      <w:r w:rsidRPr="00014A4E">
        <w:rPr>
          <w:rFonts w:ascii="Arial" w:hAnsi="Arial" w:cs="Arial"/>
          <w:b/>
          <w:bCs/>
          <w:sz w:val="20"/>
          <w:szCs w:val="20"/>
          <w:lang w:val="es"/>
        </w:rPr>
        <w:t xml:space="preserve">ENVÍEN LLAMAMIENTOS LO ANTES POSIBLE Y NO MÁS TARDE DEL: </w:t>
      </w:r>
      <w:r w:rsidRPr="00014A4E">
        <w:rPr>
          <w:rFonts w:ascii="Arial" w:hAnsi="Arial" w:cs="Arial"/>
          <w:sz w:val="20"/>
          <w:szCs w:val="20"/>
          <w:lang w:val="es"/>
        </w:rPr>
        <w:t>7 de agosto de 2025.</w:t>
      </w:r>
    </w:p>
    <w:p w14:paraId="7454EADC" w14:textId="77777777" w:rsidR="005D2C37" w:rsidRPr="00014A4E" w:rsidRDefault="005D2C37" w:rsidP="00980425">
      <w:pPr>
        <w:spacing w:after="0" w:line="240" w:lineRule="auto"/>
        <w:rPr>
          <w:rFonts w:ascii="Arial" w:hAnsi="Arial" w:cs="Arial"/>
          <w:sz w:val="20"/>
          <w:szCs w:val="20"/>
          <w:lang w:val="es-ES"/>
        </w:rPr>
      </w:pPr>
      <w:r w:rsidRPr="00014A4E">
        <w:rPr>
          <w:rFonts w:ascii="Arial" w:hAnsi="Arial" w:cs="Arial"/>
          <w:sz w:val="20"/>
          <w:szCs w:val="20"/>
          <w:lang w:val="es"/>
        </w:rPr>
        <w:t>Consulten con la oficina de Amnistía Internacional en su país si desean enviar llamamientos después de la fecha indicada.</w:t>
      </w:r>
    </w:p>
    <w:p w14:paraId="78C2F0E8" w14:textId="77777777" w:rsidR="005D2C37" w:rsidRPr="00014A4E" w:rsidRDefault="005D2C37" w:rsidP="00980425">
      <w:pPr>
        <w:spacing w:after="0" w:line="240" w:lineRule="auto"/>
        <w:rPr>
          <w:rFonts w:ascii="Arial" w:hAnsi="Arial" w:cs="Arial"/>
          <w:b/>
          <w:sz w:val="20"/>
          <w:szCs w:val="20"/>
          <w:lang w:val="es-ES"/>
        </w:rPr>
      </w:pPr>
    </w:p>
    <w:p w14:paraId="69A0DF34" w14:textId="387BC5D3" w:rsidR="005D2C37" w:rsidRPr="00014A4E" w:rsidRDefault="005D2C37" w:rsidP="00980425">
      <w:pPr>
        <w:spacing w:after="0" w:line="240" w:lineRule="auto"/>
        <w:rPr>
          <w:rFonts w:ascii="Arial" w:hAnsi="Arial" w:cs="Arial"/>
          <w:b/>
          <w:sz w:val="20"/>
          <w:szCs w:val="20"/>
          <w:lang w:val="es-ES"/>
        </w:rPr>
      </w:pPr>
      <w:r w:rsidRPr="00014A4E">
        <w:rPr>
          <w:rFonts w:ascii="Arial" w:hAnsi="Arial" w:cs="Arial"/>
          <w:b/>
          <w:bCs/>
          <w:sz w:val="20"/>
          <w:szCs w:val="20"/>
          <w:lang w:val="es"/>
        </w:rPr>
        <w:t xml:space="preserve">NOMBRE Y GÉNERO GRAMATICAL PREFERIDO: </w:t>
      </w:r>
      <w:proofErr w:type="spellStart"/>
      <w:r w:rsidRPr="00014A4E">
        <w:rPr>
          <w:rFonts w:ascii="Arial" w:hAnsi="Arial" w:cs="Arial"/>
          <w:b/>
          <w:bCs/>
          <w:sz w:val="20"/>
          <w:szCs w:val="20"/>
          <w:lang w:val="es"/>
        </w:rPr>
        <w:t>Ayman</w:t>
      </w:r>
      <w:proofErr w:type="spellEnd"/>
      <w:r w:rsidRPr="00014A4E">
        <w:rPr>
          <w:rFonts w:ascii="Arial" w:hAnsi="Arial" w:cs="Arial"/>
          <w:b/>
          <w:bCs/>
          <w:sz w:val="20"/>
          <w:szCs w:val="20"/>
          <w:lang w:val="es"/>
        </w:rPr>
        <w:t xml:space="preserve"> </w:t>
      </w:r>
      <w:proofErr w:type="spellStart"/>
      <w:r w:rsidRPr="00014A4E">
        <w:rPr>
          <w:rFonts w:ascii="Arial" w:hAnsi="Arial" w:cs="Arial"/>
          <w:b/>
          <w:bCs/>
          <w:sz w:val="20"/>
          <w:szCs w:val="20"/>
          <w:lang w:val="es"/>
        </w:rPr>
        <w:t>Sanduka</w:t>
      </w:r>
      <w:proofErr w:type="spellEnd"/>
      <w:r w:rsidRPr="00014A4E">
        <w:rPr>
          <w:rFonts w:ascii="Arial" w:hAnsi="Arial" w:cs="Arial"/>
          <w:sz w:val="20"/>
          <w:szCs w:val="20"/>
          <w:lang w:val="es"/>
        </w:rPr>
        <w:t xml:space="preserve"> (masculino).</w:t>
      </w:r>
    </w:p>
    <w:p w14:paraId="5B9FAF85" w14:textId="77777777" w:rsidR="005D2C37" w:rsidRPr="00014A4E" w:rsidRDefault="005D2C37" w:rsidP="00980425">
      <w:pPr>
        <w:spacing w:after="0" w:line="240" w:lineRule="auto"/>
        <w:rPr>
          <w:rFonts w:ascii="Arial" w:hAnsi="Arial" w:cs="Arial"/>
          <w:b/>
          <w:sz w:val="20"/>
          <w:szCs w:val="20"/>
          <w:lang w:val="es-ES"/>
        </w:rPr>
      </w:pPr>
    </w:p>
    <w:p w14:paraId="181D7529" w14:textId="4901CCB8" w:rsidR="005D2C37" w:rsidRPr="00014A4E" w:rsidRDefault="005D2C37" w:rsidP="00151888">
      <w:pPr>
        <w:spacing w:after="0" w:line="240" w:lineRule="auto"/>
        <w:rPr>
          <w:rFonts w:ascii="Arial" w:hAnsi="Arial" w:cs="Arial"/>
          <w:sz w:val="20"/>
          <w:szCs w:val="20"/>
        </w:rPr>
      </w:pPr>
      <w:r w:rsidRPr="00014A4E">
        <w:rPr>
          <w:rFonts w:ascii="Arial" w:hAnsi="Arial" w:cs="Arial"/>
          <w:b/>
          <w:bCs/>
          <w:sz w:val="20"/>
          <w:szCs w:val="20"/>
          <w:lang w:val="es"/>
        </w:rPr>
        <w:t xml:space="preserve">ENLACE A LA AU ANTERIOR: </w:t>
      </w:r>
      <w:hyperlink r:id="rId8" w:history="1">
        <w:r w:rsidRPr="00014A4E">
          <w:rPr>
            <w:rStyle w:val="Hipervnculo"/>
            <w:rFonts w:ascii="Arial" w:hAnsi="Arial" w:cs="Arial"/>
            <w:sz w:val="20"/>
            <w:szCs w:val="20"/>
            <w:lang w:val="es"/>
          </w:rPr>
          <w:t>https://www.amnesty.org/es/documents/mde16/7865/2024/es/</w:t>
        </w:r>
      </w:hyperlink>
      <w:r w:rsidRPr="00014A4E">
        <w:rPr>
          <w:rFonts w:ascii="Arial" w:hAnsi="Arial" w:cs="Arial"/>
          <w:sz w:val="20"/>
          <w:szCs w:val="20"/>
          <w:lang w:val="es"/>
        </w:rPr>
        <w:t>.</w:t>
      </w:r>
    </w:p>
    <w:p w14:paraId="71A9E4BF" w14:textId="77777777" w:rsidR="00B92AEC" w:rsidRPr="00014A4E" w:rsidRDefault="00B92AEC" w:rsidP="00980425">
      <w:pPr>
        <w:spacing w:line="240" w:lineRule="auto"/>
        <w:rPr>
          <w:rFonts w:ascii="Arial" w:hAnsi="Arial" w:cs="Arial"/>
        </w:rPr>
      </w:pPr>
    </w:p>
    <w:sectPr w:rsidR="00B92AEC" w:rsidRPr="00014A4E" w:rsidSect="00014A4E">
      <w:headerReference w:type="default" r:id="rId9"/>
      <w:headerReference w:type="first" r:id="rId10"/>
      <w:footnotePr>
        <w:pos w:val="beneathText"/>
      </w:footnotePr>
      <w:endnotePr>
        <w:numFmt w:val="decimal"/>
      </w:endnotePr>
      <w:type w:val="continuous"/>
      <w:pgSz w:w="11900" w:h="16837" w:code="9"/>
      <w:pgMar w:top="1440" w:right="1440" w:bottom="1440" w:left="144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0AA41" w14:textId="77777777" w:rsidR="00EA0ED1" w:rsidRDefault="00EA0ED1">
      <w:r>
        <w:separator/>
      </w:r>
    </w:p>
  </w:endnote>
  <w:endnote w:type="continuationSeparator" w:id="0">
    <w:p w14:paraId="758B87C6" w14:textId="77777777" w:rsidR="00EA0ED1" w:rsidRDefault="00EA0ED1">
      <w:r>
        <w:continuationSeparator/>
      </w:r>
    </w:p>
  </w:endnote>
  <w:endnote w:type="continuationNotice" w:id="1">
    <w:p w14:paraId="56101C90" w14:textId="77777777" w:rsidR="00EA0ED1" w:rsidRDefault="00EA0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4807D" w14:textId="77777777" w:rsidR="00EA0ED1" w:rsidRDefault="00EA0ED1">
      <w:r>
        <w:separator/>
      </w:r>
    </w:p>
  </w:footnote>
  <w:footnote w:type="continuationSeparator" w:id="0">
    <w:p w14:paraId="16B13449" w14:textId="77777777" w:rsidR="00EA0ED1" w:rsidRDefault="00EA0ED1">
      <w:r>
        <w:continuationSeparator/>
      </w:r>
    </w:p>
  </w:footnote>
  <w:footnote w:type="continuationNotice" w:id="1">
    <w:p w14:paraId="69DC6121" w14:textId="77777777" w:rsidR="00EA0ED1" w:rsidRDefault="00EA0E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43D3" w14:textId="36909600" w:rsidR="00355617" w:rsidRPr="00527C99" w:rsidRDefault="00580816" w:rsidP="0082127B">
    <w:pPr>
      <w:tabs>
        <w:tab w:val="left" w:pos="6060"/>
        <w:tab w:val="right" w:pos="10203"/>
      </w:tabs>
      <w:spacing w:after="0"/>
      <w:rPr>
        <w:sz w:val="16"/>
        <w:szCs w:val="16"/>
        <w:lang w:val="es-ES"/>
      </w:rPr>
    </w:pPr>
    <w:r>
      <w:rPr>
        <w:sz w:val="16"/>
        <w:szCs w:val="16"/>
        <w:lang w:val="es"/>
      </w:rPr>
      <w:t>Segunda AU: 26/24 Índice: MDE 16/9020/2025 Jordania</w:t>
    </w:r>
    <w:r>
      <w:rPr>
        <w:sz w:val="16"/>
        <w:szCs w:val="16"/>
        <w:lang w:val="es"/>
      </w:rPr>
      <w:tab/>
    </w:r>
    <w:r>
      <w:rPr>
        <w:sz w:val="16"/>
        <w:szCs w:val="16"/>
        <w:lang w:val="es"/>
      </w:rPr>
      <w:tab/>
      <w:t>Fecha: 7 de febrero de 2025</w:t>
    </w:r>
  </w:p>
  <w:p w14:paraId="4038B617" w14:textId="77777777" w:rsidR="007A3AEA" w:rsidRPr="00527C99"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43DE" w14:textId="77777777" w:rsidR="00E45B15" w:rsidRDefault="00E45B15" w:rsidP="00D35879">
    <w:pPr>
      <w:pStyle w:val="Encabezado"/>
    </w:pPr>
  </w:p>
  <w:p w14:paraId="082F8454"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8F38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13879354" o:spid="_x0000_i1025" type="#_x0000_t75" style="width:9.35pt;height:9.35pt;visibility:visible;mso-wrap-style:square" filled="t">
            <v:imagedata r:id="rId1" o:title=""/>
          </v:shape>
        </w:pict>
      </mc:Choice>
      <mc:Fallback>
        <w:drawing>
          <wp:inline distT="0" distB="0" distL="0" distR="0" wp14:anchorId="36AA9DDD">
            <wp:extent cx="118745" cy="118745"/>
            <wp:effectExtent l="0" t="0" r="0" b="0"/>
            <wp:docPr id="913879354" name="Imagen 91387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84475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1C16335"/>
    <w:multiLevelType w:val="multilevel"/>
    <w:tmpl w:val="45088F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7846351"/>
    <w:multiLevelType w:val="multilevel"/>
    <w:tmpl w:val="B2FE28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912564">
    <w:abstractNumId w:val="0"/>
  </w:num>
  <w:num w:numId="2" w16cid:durableId="1946227552">
    <w:abstractNumId w:val="22"/>
  </w:num>
  <w:num w:numId="3" w16cid:durableId="1540390792">
    <w:abstractNumId w:val="21"/>
  </w:num>
  <w:num w:numId="4" w16cid:durableId="383480538">
    <w:abstractNumId w:val="11"/>
  </w:num>
  <w:num w:numId="5" w16cid:durableId="533884806">
    <w:abstractNumId w:val="3"/>
  </w:num>
  <w:num w:numId="6" w16cid:durableId="1254977939">
    <w:abstractNumId w:val="20"/>
  </w:num>
  <w:num w:numId="7" w16cid:durableId="2115439945">
    <w:abstractNumId w:val="18"/>
  </w:num>
  <w:num w:numId="8" w16cid:durableId="1850556783">
    <w:abstractNumId w:val="9"/>
  </w:num>
  <w:num w:numId="9" w16cid:durableId="319383651">
    <w:abstractNumId w:val="8"/>
  </w:num>
  <w:num w:numId="10" w16cid:durableId="66078263">
    <w:abstractNumId w:val="14"/>
  </w:num>
  <w:num w:numId="11" w16cid:durableId="982007125">
    <w:abstractNumId w:val="5"/>
  </w:num>
  <w:num w:numId="12" w16cid:durableId="1391810180">
    <w:abstractNumId w:val="15"/>
  </w:num>
  <w:num w:numId="13" w16cid:durableId="1525510291">
    <w:abstractNumId w:val="16"/>
  </w:num>
  <w:num w:numId="14" w16cid:durableId="1680887155">
    <w:abstractNumId w:val="1"/>
  </w:num>
  <w:num w:numId="15" w16cid:durableId="1782451815">
    <w:abstractNumId w:val="19"/>
  </w:num>
  <w:num w:numId="16" w16cid:durableId="608197553">
    <w:abstractNumId w:val="12"/>
  </w:num>
  <w:num w:numId="17" w16cid:durableId="2004164398">
    <w:abstractNumId w:val="13"/>
  </w:num>
  <w:num w:numId="18" w16cid:durableId="2017415093">
    <w:abstractNumId w:val="4"/>
  </w:num>
  <w:num w:numId="19" w16cid:durableId="525631244">
    <w:abstractNumId w:val="7"/>
  </w:num>
  <w:num w:numId="20" w16cid:durableId="712582178">
    <w:abstractNumId w:val="17"/>
  </w:num>
  <w:num w:numId="21" w16cid:durableId="1962032116">
    <w:abstractNumId w:val="2"/>
  </w:num>
  <w:num w:numId="22" w16cid:durableId="11420608">
    <w:abstractNumId w:val="23"/>
  </w:num>
  <w:num w:numId="23" w16cid:durableId="612060283">
    <w:abstractNumId w:val="6"/>
  </w:num>
  <w:num w:numId="24" w16cid:durableId="167066972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0241"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06"/>
    <w:rsid w:val="00001383"/>
    <w:rsid w:val="00004D79"/>
    <w:rsid w:val="000058B2"/>
    <w:rsid w:val="00006629"/>
    <w:rsid w:val="00014A4E"/>
    <w:rsid w:val="00021D78"/>
    <w:rsid w:val="0002386F"/>
    <w:rsid w:val="00057A7E"/>
    <w:rsid w:val="00062B56"/>
    <w:rsid w:val="00076037"/>
    <w:rsid w:val="00083462"/>
    <w:rsid w:val="00084C4D"/>
    <w:rsid w:val="00087E2B"/>
    <w:rsid w:val="0009130D"/>
    <w:rsid w:val="00092DFA"/>
    <w:rsid w:val="000957C5"/>
    <w:rsid w:val="000A1F14"/>
    <w:rsid w:val="000A561D"/>
    <w:rsid w:val="000B02B4"/>
    <w:rsid w:val="000B4A38"/>
    <w:rsid w:val="000C2A0D"/>
    <w:rsid w:val="000C6196"/>
    <w:rsid w:val="000D0ABB"/>
    <w:rsid w:val="000D2799"/>
    <w:rsid w:val="000D70C1"/>
    <w:rsid w:val="000E0D61"/>
    <w:rsid w:val="000E0DEC"/>
    <w:rsid w:val="000E57D4"/>
    <w:rsid w:val="000F1763"/>
    <w:rsid w:val="000F3012"/>
    <w:rsid w:val="00100FE4"/>
    <w:rsid w:val="0010425E"/>
    <w:rsid w:val="00106837"/>
    <w:rsid w:val="00106D61"/>
    <w:rsid w:val="00110CBF"/>
    <w:rsid w:val="00114556"/>
    <w:rsid w:val="0012544D"/>
    <w:rsid w:val="001300C3"/>
    <w:rsid w:val="00130B8A"/>
    <w:rsid w:val="0014617E"/>
    <w:rsid w:val="00146DFC"/>
    <w:rsid w:val="00151888"/>
    <w:rsid w:val="001526C3"/>
    <w:rsid w:val="001561F4"/>
    <w:rsid w:val="0016118D"/>
    <w:rsid w:val="001648DB"/>
    <w:rsid w:val="00174398"/>
    <w:rsid w:val="00176678"/>
    <w:rsid w:val="001773D1"/>
    <w:rsid w:val="00177779"/>
    <w:rsid w:val="00186D11"/>
    <w:rsid w:val="0019118D"/>
    <w:rsid w:val="00194CD5"/>
    <w:rsid w:val="001A635D"/>
    <w:rsid w:val="001A6AC9"/>
    <w:rsid w:val="001C436D"/>
    <w:rsid w:val="001C72EE"/>
    <w:rsid w:val="001D52A5"/>
    <w:rsid w:val="001E2045"/>
    <w:rsid w:val="00201189"/>
    <w:rsid w:val="002036C0"/>
    <w:rsid w:val="00214749"/>
    <w:rsid w:val="00215C3E"/>
    <w:rsid w:val="00215E33"/>
    <w:rsid w:val="00225A11"/>
    <w:rsid w:val="00250EF8"/>
    <w:rsid w:val="002546B0"/>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2204"/>
    <w:rsid w:val="002F3C80"/>
    <w:rsid w:val="0031230A"/>
    <w:rsid w:val="00313E8B"/>
    <w:rsid w:val="00320461"/>
    <w:rsid w:val="0033624A"/>
    <w:rsid w:val="003373A5"/>
    <w:rsid w:val="00337826"/>
    <w:rsid w:val="00340058"/>
    <w:rsid w:val="0034128A"/>
    <w:rsid w:val="0034324D"/>
    <w:rsid w:val="00347074"/>
    <w:rsid w:val="003509EE"/>
    <w:rsid w:val="00352349"/>
    <w:rsid w:val="00352C47"/>
    <w:rsid w:val="0035329F"/>
    <w:rsid w:val="00355617"/>
    <w:rsid w:val="00362F0F"/>
    <w:rsid w:val="00376EF4"/>
    <w:rsid w:val="00384B4C"/>
    <w:rsid w:val="003904F0"/>
    <w:rsid w:val="003975C9"/>
    <w:rsid w:val="003B0ADE"/>
    <w:rsid w:val="003B21E1"/>
    <w:rsid w:val="003B294A"/>
    <w:rsid w:val="003B5483"/>
    <w:rsid w:val="003C3210"/>
    <w:rsid w:val="003C5EEA"/>
    <w:rsid w:val="003C7CB6"/>
    <w:rsid w:val="003D07DB"/>
    <w:rsid w:val="003E32C6"/>
    <w:rsid w:val="003F3D5D"/>
    <w:rsid w:val="003F5B56"/>
    <w:rsid w:val="00400997"/>
    <w:rsid w:val="0042210F"/>
    <w:rsid w:val="004334BF"/>
    <w:rsid w:val="004408A1"/>
    <w:rsid w:val="00442E5B"/>
    <w:rsid w:val="0044379B"/>
    <w:rsid w:val="00445D50"/>
    <w:rsid w:val="00453538"/>
    <w:rsid w:val="004603A2"/>
    <w:rsid w:val="00485FBC"/>
    <w:rsid w:val="00486088"/>
    <w:rsid w:val="00492FA8"/>
    <w:rsid w:val="004A1BDD"/>
    <w:rsid w:val="004B1E15"/>
    <w:rsid w:val="004B2367"/>
    <w:rsid w:val="004B381D"/>
    <w:rsid w:val="004C265C"/>
    <w:rsid w:val="004C71F5"/>
    <w:rsid w:val="004D41DC"/>
    <w:rsid w:val="004E3877"/>
    <w:rsid w:val="00504FBC"/>
    <w:rsid w:val="00517E88"/>
    <w:rsid w:val="00527C99"/>
    <w:rsid w:val="00535759"/>
    <w:rsid w:val="00535A5E"/>
    <w:rsid w:val="005363CA"/>
    <w:rsid w:val="00542F58"/>
    <w:rsid w:val="00545423"/>
    <w:rsid w:val="00547E71"/>
    <w:rsid w:val="00565462"/>
    <w:rsid w:val="005668D0"/>
    <w:rsid w:val="00567840"/>
    <w:rsid w:val="00572CCD"/>
    <w:rsid w:val="0057440A"/>
    <w:rsid w:val="00580816"/>
    <w:rsid w:val="00581A12"/>
    <w:rsid w:val="00583BAC"/>
    <w:rsid w:val="0058641D"/>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CD6"/>
    <w:rsid w:val="005F5E43"/>
    <w:rsid w:val="005F7DE6"/>
    <w:rsid w:val="00606108"/>
    <w:rsid w:val="00617C5D"/>
    <w:rsid w:val="006201FC"/>
    <w:rsid w:val="00620ADD"/>
    <w:rsid w:val="00626E38"/>
    <w:rsid w:val="0063702D"/>
    <w:rsid w:val="00640EF2"/>
    <w:rsid w:val="0064718C"/>
    <w:rsid w:val="0065049B"/>
    <w:rsid w:val="00650D73"/>
    <w:rsid w:val="006558EE"/>
    <w:rsid w:val="00657231"/>
    <w:rsid w:val="00667FBC"/>
    <w:rsid w:val="0069571A"/>
    <w:rsid w:val="00696496"/>
    <w:rsid w:val="006A0BB9"/>
    <w:rsid w:val="006B12FA"/>
    <w:rsid w:val="006B461E"/>
    <w:rsid w:val="006C3C21"/>
    <w:rsid w:val="006C7A31"/>
    <w:rsid w:val="006D46D9"/>
    <w:rsid w:val="006F4C28"/>
    <w:rsid w:val="0070364E"/>
    <w:rsid w:val="007104E8"/>
    <w:rsid w:val="007156FC"/>
    <w:rsid w:val="00716942"/>
    <w:rsid w:val="007173E9"/>
    <w:rsid w:val="00727519"/>
    <w:rsid w:val="00727CA7"/>
    <w:rsid w:val="007342E5"/>
    <w:rsid w:val="0073431C"/>
    <w:rsid w:val="00756255"/>
    <w:rsid w:val="007656E7"/>
    <w:rsid w:val="007666A4"/>
    <w:rsid w:val="00773365"/>
    <w:rsid w:val="00781624"/>
    <w:rsid w:val="00781E3C"/>
    <w:rsid w:val="007858BA"/>
    <w:rsid w:val="007A2ABA"/>
    <w:rsid w:val="007A3AEA"/>
    <w:rsid w:val="007A7F97"/>
    <w:rsid w:val="007B4F3E"/>
    <w:rsid w:val="007B578A"/>
    <w:rsid w:val="007B7197"/>
    <w:rsid w:val="007C6CD0"/>
    <w:rsid w:val="007D52BC"/>
    <w:rsid w:val="007F72FF"/>
    <w:rsid w:val="007F7B5E"/>
    <w:rsid w:val="008056E9"/>
    <w:rsid w:val="0081049F"/>
    <w:rsid w:val="00814632"/>
    <w:rsid w:val="0082127B"/>
    <w:rsid w:val="00827A40"/>
    <w:rsid w:val="00844F48"/>
    <w:rsid w:val="008455C2"/>
    <w:rsid w:val="00846E45"/>
    <w:rsid w:val="00862CF9"/>
    <w:rsid w:val="00864035"/>
    <w:rsid w:val="00866873"/>
    <w:rsid w:val="00872CC5"/>
    <w:rsid w:val="008763F4"/>
    <w:rsid w:val="008849EA"/>
    <w:rsid w:val="00891FE8"/>
    <w:rsid w:val="00892ED5"/>
    <w:rsid w:val="00893C57"/>
    <w:rsid w:val="008D16ED"/>
    <w:rsid w:val="008D2A6B"/>
    <w:rsid w:val="008D49A5"/>
    <w:rsid w:val="008E0B66"/>
    <w:rsid w:val="008E172D"/>
    <w:rsid w:val="00902730"/>
    <w:rsid w:val="00906C9F"/>
    <w:rsid w:val="00921577"/>
    <w:rsid w:val="009259E1"/>
    <w:rsid w:val="00931078"/>
    <w:rsid w:val="0093765E"/>
    <w:rsid w:val="00950FD8"/>
    <w:rsid w:val="0095188F"/>
    <w:rsid w:val="009550A0"/>
    <w:rsid w:val="00960C64"/>
    <w:rsid w:val="00963D4F"/>
    <w:rsid w:val="0097218E"/>
    <w:rsid w:val="00980425"/>
    <w:rsid w:val="00991C69"/>
    <w:rsid w:val="009923C0"/>
    <w:rsid w:val="009A3BBD"/>
    <w:rsid w:val="009B78FE"/>
    <w:rsid w:val="009C3521"/>
    <w:rsid w:val="009C4461"/>
    <w:rsid w:val="009C6B5A"/>
    <w:rsid w:val="009D4AD7"/>
    <w:rsid w:val="009E097D"/>
    <w:rsid w:val="009E7E6E"/>
    <w:rsid w:val="009F3B26"/>
    <w:rsid w:val="00A0276D"/>
    <w:rsid w:val="00A07E67"/>
    <w:rsid w:val="00A21A9D"/>
    <w:rsid w:val="00A31475"/>
    <w:rsid w:val="00A31F72"/>
    <w:rsid w:val="00A41FC6"/>
    <w:rsid w:val="00A44B1B"/>
    <w:rsid w:val="00A4583A"/>
    <w:rsid w:val="00A70D9D"/>
    <w:rsid w:val="00A7548F"/>
    <w:rsid w:val="00A81673"/>
    <w:rsid w:val="00A836FB"/>
    <w:rsid w:val="00A90EA6"/>
    <w:rsid w:val="00AB5744"/>
    <w:rsid w:val="00AB5C6E"/>
    <w:rsid w:val="00AB7E5D"/>
    <w:rsid w:val="00AC15B7"/>
    <w:rsid w:val="00AC367F"/>
    <w:rsid w:val="00AC3E72"/>
    <w:rsid w:val="00AE4214"/>
    <w:rsid w:val="00AF0374"/>
    <w:rsid w:val="00AF0FCD"/>
    <w:rsid w:val="00AF5FF0"/>
    <w:rsid w:val="00AF620B"/>
    <w:rsid w:val="00AF66AD"/>
    <w:rsid w:val="00B1288E"/>
    <w:rsid w:val="00B206A8"/>
    <w:rsid w:val="00B27341"/>
    <w:rsid w:val="00B361C7"/>
    <w:rsid w:val="00B408D4"/>
    <w:rsid w:val="00B50E0D"/>
    <w:rsid w:val="00B52B01"/>
    <w:rsid w:val="00B5481C"/>
    <w:rsid w:val="00B6690B"/>
    <w:rsid w:val="00B7545C"/>
    <w:rsid w:val="00B92AEC"/>
    <w:rsid w:val="00B957E6"/>
    <w:rsid w:val="00B97626"/>
    <w:rsid w:val="00BA0E81"/>
    <w:rsid w:val="00BA3949"/>
    <w:rsid w:val="00BA6878"/>
    <w:rsid w:val="00BA6913"/>
    <w:rsid w:val="00BB0B3B"/>
    <w:rsid w:val="00BB3073"/>
    <w:rsid w:val="00BC5BA5"/>
    <w:rsid w:val="00BC6AF7"/>
    <w:rsid w:val="00BC7111"/>
    <w:rsid w:val="00BD0B43"/>
    <w:rsid w:val="00BE0D92"/>
    <w:rsid w:val="00BE4685"/>
    <w:rsid w:val="00BE6035"/>
    <w:rsid w:val="00BF4778"/>
    <w:rsid w:val="00BF7136"/>
    <w:rsid w:val="00C162AD"/>
    <w:rsid w:val="00C17D6F"/>
    <w:rsid w:val="00C25206"/>
    <w:rsid w:val="00C2673D"/>
    <w:rsid w:val="00C359CF"/>
    <w:rsid w:val="00C370BB"/>
    <w:rsid w:val="00C415B8"/>
    <w:rsid w:val="00C460DB"/>
    <w:rsid w:val="00C50CEC"/>
    <w:rsid w:val="00C538D1"/>
    <w:rsid w:val="00C607FB"/>
    <w:rsid w:val="00C76EE0"/>
    <w:rsid w:val="00C830B4"/>
    <w:rsid w:val="00C8330C"/>
    <w:rsid w:val="00C85BFA"/>
    <w:rsid w:val="00C85EFE"/>
    <w:rsid w:val="00C934DE"/>
    <w:rsid w:val="00C93CB2"/>
    <w:rsid w:val="00CA13A3"/>
    <w:rsid w:val="00CA51AF"/>
    <w:rsid w:val="00CA5CB1"/>
    <w:rsid w:val="00CB1261"/>
    <w:rsid w:val="00CB18EB"/>
    <w:rsid w:val="00CB7C2B"/>
    <w:rsid w:val="00CD2995"/>
    <w:rsid w:val="00CD400E"/>
    <w:rsid w:val="00CE342C"/>
    <w:rsid w:val="00CF7805"/>
    <w:rsid w:val="00D007F8"/>
    <w:rsid w:val="00D030C9"/>
    <w:rsid w:val="00D05A52"/>
    <w:rsid w:val="00D114C6"/>
    <w:rsid w:val="00D142D0"/>
    <w:rsid w:val="00D16916"/>
    <w:rsid w:val="00D23D90"/>
    <w:rsid w:val="00D26BF9"/>
    <w:rsid w:val="00D35879"/>
    <w:rsid w:val="00D41A0C"/>
    <w:rsid w:val="00D47210"/>
    <w:rsid w:val="00D54217"/>
    <w:rsid w:val="00D6112E"/>
    <w:rsid w:val="00D62977"/>
    <w:rsid w:val="00D62C90"/>
    <w:rsid w:val="00D635A1"/>
    <w:rsid w:val="00D6411A"/>
    <w:rsid w:val="00D67ABF"/>
    <w:rsid w:val="00D71141"/>
    <w:rsid w:val="00D749E6"/>
    <w:rsid w:val="00D834E2"/>
    <w:rsid w:val="00D839E9"/>
    <w:rsid w:val="00D844EE"/>
    <w:rsid w:val="00D847F8"/>
    <w:rsid w:val="00D8678C"/>
    <w:rsid w:val="00D90465"/>
    <w:rsid w:val="00DA1543"/>
    <w:rsid w:val="00DB7D74"/>
    <w:rsid w:val="00DC64EF"/>
    <w:rsid w:val="00DC65A4"/>
    <w:rsid w:val="00DD346F"/>
    <w:rsid w:val="00DE5C1D"/>
    <w:rsid w:val="00DF1141"/>
    <w:rsid w:val="00DF3644"/>
    <w:rsid w:val="00DF3DF5"/>
    <w:rsid w:val="00DF63A6"/>
    <w:rsid w:val="00E0108E"/>
    <w:rsid w:val="00E01C7A"/>
    <w:rsid w:val="00E028CA"/>
    <w:rsid w:val="00E04AF0"/>
    <w:rsid w:val="00E12FD3"/>
    <w:rsid w:val="00E22AAE"/>
    <w:rsid w:val="00E3418F"/>
    <w:rsid w:val="00E37B98"/>
    <w:rsid w:val="00E406B4"/>
    <w:rsid w:val="00E40EAA"/>
    <w:rsid w:val="00E43F3A"/>
    <w:rsid w:val="00E45B15"/>
    <w:rsid w:val="00E63CEF"/>
    <w:rsid w:val="00E65D5E"/>
    <w:rsid w:val="00E67C6B"/>
    <w:rsid w:val="00E707D9"/>
    <w:rsid w:val="00E7569C"/>
    <w:rsid w:val="00E76516"/>
    <w:rsid w:val="00E778FE"/>
    <w:rsid w:val="00E8118D"/>
    <w:rsid w:val="00E90315"/>
    <w:rsid w:val="00EA0ED1"/>
    <w:rsid w:val="00EA1562"/>
    <w:rsid w:val="00EA68CE"/>
    <w:rsid w:val="00EB1C45"/>
    <w:rsid w:val="00EB51EB"/>
    <w:rsid w:val="00EC677A"/>
    <w:rsid w:val="00EF284E"/>
    <w:rsid w:val="00F045CA"/>
    <w:rsid w:val="00F25445"/>
    <w:rsid w:val="00F322A8"/>
    <w:rsid w:val="00F3436F"/>
    <w:rsid w:val="00F43017"/>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3D5B"/>
    <w:rsid w:val="00FD26BD"/>
    <w:rsid w:val="00FD33ED"/>
    <w:rsid w:val="00FE103A"/>
    <w:rsid w:val="00FF4725"/>
    <w:rsid w:val="00FF799B"/>
    <w:rsid w:val="06409146"/>
    <w:rsid w:val="07C3F2A5"/>
    <w:rsid w:val="1FB81807"/>
    <w:rsid w:val="240296E4"/>
    <w:rsid w:val="2433841D"/>
    <w:rsid w:val="434DDA5C"/>
    <w:rsid w:val="4BC23660"/>
    <w:rsid w:val="4D27C9DE"/>
    <w:rsid w:val="510A218A"/>
    <w:rsid w:val="56146524"/>
    <w:rsid w:val="57FD489F"/>
    <w:rsid w:val="5FF90401"/>
    <w:rsid w:val="67294AA8"/>
    <w:rsid w:val="6CADC764"/>
    <w:rsid w:val="6E7AF42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312B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872CC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Fuentedeprrafopredeter"/>
    <w:rsid w:val="00872CC5"/>
  </w:style>
  <w:style w:type="character" w:customStyle="1" w:styleId="eop">
    <w:name w:val="eop"/>
    <w:basedOn w:val="Fuentedeprrafopredeter"/>
    <w:rsid w:val="00872CC5"/>
  </w:style>
  <w:style w:type="character" w:customStyle="1" w:styleId="scxw166041996">
    <w:name w:val="scxw166041996"/>
    <w:basedOn w:val="Fuentedeprrafopredeter"/>
    <w:rsid w:val="00872CC5"/>
  </w:style>
  <w:style w:type="paragraph" w:styleId="Revisin">
    <w:name w:val="Revision"/>
    <w:hidden/>
    <w:uiPriority w:val="99"/>
    <w:semiHidden/>
    <w:rsid w:val="00BC5BA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935279">
      <w:bodyDiv w:val="1"/>
      <w:marLeft w:val="0"/>
      <w:marRight w:val="0"/>
      <w:marTop w:val="0"/>
      <w:marBottom w:val="0"/>
      <w:divBdr>
        <w:top w:val="none" w:sz="0" w:space="0" w:color="auto"/>
        <w:left w:val="none" w:sz="0" w:space="0" w:color="auto"/>
        <w:bottom w:val="none" w:sz="0" w:space="0" w:color="auto"/>
        <w:right w:val="none" w:sz="0" w:space="0" w:color="auto"/>
      </w:divBdr>
      <w:divsChild>
        <w:div w:id="1770394739">
          <w:marLeft w:val="0"/>
          <w:marRight w:val="0"/>
          <w:marTop w:val="0"/>
          <w:marBottom w:val="0"/>
          <w:divBdr>
            <w:top w:val="none" w:sz="0" w:space="0" w:color="auto"/>
            <w:left w:val="none" w:sz="0" w:space="0" w:color="auto"/>
            <w:bottom w:val="none" w:sz="0" w:space="0" w:color="auto"/>
            <w:right w:val="none" w:sz="0" w:space="0" w:color="auto"/>
          </w:divBdr>
          <w:divsChild>
            <w:div w:id="2002653571">
              <w:marLeft w:val="0"/>
              <w:marRight w:val="0"/>
              <w:marTop w:val="0"/>
              <w:marBottom w:val="0"/>
              <w:divBdr>
                <w:top w:val="none" w:sz="0" w:space="0" w:color="auto"/>
                <w:left w:val="none" w:sz="0" w:space="0" w:color="auto"/>
                <w:bottom w:val="none" w:sz="0" w:space="0" w:color="auto"/>
                <w:right w:val="none" w:sz="0" w:space="0" w:color="auto"/>
              </w:divBdr>
              <w:divsChild>
                <w:div w:id="1755514470">
                  <w:marLeft w:val="0"/>
                  <w:marRight w:val="0"/>
                  <w:marTop w:val="0"/>
                  <w:marBottom w:val="0"/>
                  <w:divBdr>
                    <w:top w:val="none" w:sz="0" w:space="0" w:color="auto"/>
                    <w:left w:val="none" w:sz="0" w:space="0" w:color="auto"/>
                    <w:bottom w:val="none" w:sz="0" w:space="0" w:color="auto"/>
                    <w:right w:val="none" w:sz="0" w:space="0" w:color="auto"/>
                  </w:divBdr>
                  <w:divsChild>
                    <w:div w:id="546798016">
                      <w:marLeft w:val="0"/>
                      <w:marRight w:val="0"/>
                      <w:marTop w:val="0"/>
                      <w:marBottom w:val="0"/>
                      <w:divBdr>
                        <w:top w:val="none" w:sz="0" w:space="0" w:color="auto"/>
                        <w:left w:val="none" w:sz="0" w:space="0" w:color="auto"/>
                        <w:bottom w:val="none" w:sz="0" w:space="0" w:color="auto"/>
                        <w:right w:val="none" w:sz="0" w:space="0" w:color="auto"/>
                      </w:divBdr>
                      <w:divsChild>
                        <w:div w:id="1553151094">
                          <w:marLeft w:val="0"/>
                          <w:marRight w:val="0"/>
                          <w:marTop w:val="0"/>
                          <w:marBottom w:val="0"/>
                          <w:divBdr>
                            <w:top w:val="none" w:sz="0" w:space="0" w:color="auto"/>
                            <w:left w:val="none" w:sz="0" w:space="0" w:color="auto"/>
                            <w:bottom w:val="none" w:sz="0" w:space="0" w:color="auto"/>
                            <w:right w:val="none" w:sz="0" w:space="0" w:color="auto"/>
                          </w:divBdr>
                          <w:divsChild>
                            <w:div w:id="13865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05683">
      <w:bodyDiv w:val="1"/>
      <w:marLeft w:val="0"/>
      <w:marRight w:val="0"/>
      <w:marTop w:val="0"/>
      <w:marBottom w:val="0"/>
      <w:divBdr>
        <w:top w:val="none" w:sz="0" w:space="0" w:color="auto"/>
        <w:left w:val="none" w:sz="0" w:space="0" w:color="auto"/>
        <w:bottom w:val="none" w:sz="0" w:space="0" w:color="auto"/>
        <w:right w:val="none" w:sz="0" w:space="0" w:color="auto"/>
      </w:divBdr>
      <w:divsChild>
        <w:div w:id="274870061">
          <w:marLeft w:val="0"/>
          <w:marRight w:val="0"/>
          <w:marTop w:val="0"/>
          <w:marBottom w:val="0"/>
          <w:divBdr>
            <w:top w:val="none" w:sz="0" w:space="0" w:color="auto"/>
            <w:left w:val="none" w:sz="0" w:space="0" w:color="auto"/>
            <w:bottom w:val="none" w:sz="0" w:space="0" w:color="auto"/>
            <w:right w:val="none" w:sz="0" w:space="0" w:color="auto"/>
          </w:divBdr>
          <w:divsChild>
            <w:div w:id="278344017">
              <w:marLeft w:val="0"/>
              <w:marRight w:val="0"/>
              <w:marTop w:val="0"/>
              <w:marBottom w:val="0"/>
              <w:divBdr>
                <w:top w:val="none" w:sz="0" w:space="0" w:color="auto"/>
                <w:left w:val="none" w:sz="0" w:space="0" w:color="auto"/>
                <w:bottom w:val="none" w:sz="0" w:space="0" w:color="auto"/>
                <w:right w:val="none" w:sz="0" w:space="0" w:color="auto"/>
              </w:divBdr>
              <w:divsChild>
                <w:div w:id="764837277">
                  <w:marLeft w:val="0"/>
                  <w:marRight w:val="0"/>
                  <w:marTop w:val="0"/>
                  <w:marBottom w:val="0"/>
                  <w:divBdr>
                    <w:top w:val="none" w:sz="0" w:space="0" w:color="auto"/>
                    <w:left w:val="none" w:sz="0" w:space="0" w:color="auto"/>
                    <w:bottom w:val="none" w:sz="0" w:space="0" w:color="auto"/>
                    <w:right w:val="none" w:sz="0" w:space="0" w:color="auto"/>
                  </w:divBdr>
                  <w:divsChild>
                    <w:div w:id="1895463752">
                      <w:marLeft w:val="0"/>
                      <w:marRight w:val="0"/>
                      <w:marTop w:val="0"/>
                      <w:marBottom w:val="0"/>
                      <w:divBdr>
                        <w:top w:val="none" w:sz="0" w:space="0" w:color="auto"/>
                        <w:left w:val="none" w:sz="0" w:space="0" w:color="auto"/>
                        <w:bottom w:val="none" w:sz="0" w:space="0" w:color="auto"/>
                        <w:right w:val="none" w:sz="0" w:space="0" w:color="auto"/>
                      </w:divBdr>
                      <w:divsChild>
                        <w:div w:id="1377774107">
                          <w:marLeft w:val="0"/>
                          <w:marRight w:val="0"/>
                          <w:marTop w:val="0"/>
                          <w:marBottom w:val="0"/>
                          <w:divBdr>
                            <w:top w:val="none" w:sz="0" w:space="0" w:color="auto"/>
                            <w:left w:val="none" w:sz="0" w:space="0" w:color="auto"/>
                            <w:bottom w:val="none" w:sz="0" w:space="0" w:color="auto"/>
                            <w:right w:val="none" w:sz="0" w:space="0" w:color="auto"/>
                          </w:divBdr>
                          <w:divsChild>
                            <w:div w:id="14955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113937652">
      <w:bodyDiv w:val="1"/>
      <w:marLeft w:val="0"/>
      <w:marRight w:val="0"/>
      <w:marTop w:val="0"/>
      <w:marBottom w:val="0"/>
      <w:divBdr>
        <w:top w:val="none" w:sz="0" w:space="0" w:color="auto"/>
        <w:left w:val="none" w:sz="0" w:space="0" w:color="auto"/>
        <w:bottom w:val="none" w:sz="0" w:space="0" w:color="auto"/>
        <w:right w:val="none" w:sz="0" w:space="0" w:color="auto"/>
      </w:divBdr>
      <w:divsChild>
        <w:div w:id="1784059">
          <w:marLeft w:val="0"/>
          <w:marRight w:val="0"/>
          <w:marTop w:val="0"/>
          <w:marBottom w:val="0"/>
          <w:divBdr>
            <w:top w:val="none" w:sz="0" w:space="0" w:color="auto"/>
            <w:left w:val="none" w:sz="0" w:space="0" w:color="auto"/>
            <w:bottom w:val="none" w:sz="0" w:space="0" w:color="auto"/>
            <w:right w:val="none" w:sz="0" w:space="0" w:color="auto"/>
          </w:divBdr>
        </w:div>
        <w:div w:id="610091301">
          <w:marLeft w:val="0"/>
          <w:marRight w:val="0"/>
          <w:marTop w:val="0"/>
          <w:marBottom w:val="0"/>
          <w:divBdr>
            <w:top w:val="none" w:sz="0" w:space="0" w:color="auto"/>
            <w:left w:val="none" w:sz="0" w:space="0" w:color="auto"/>
            <w:bottom w:val="none" w:sz="0" w:space="0" w:color="auto"/>
            <w:right w:val="none" w:sz="0" w:space="0" w:color="auto"/>
          </w:divBdr>
        </w:div>
        <w:div w:id="1035159214">
          <w:marLeft w:val="0"/>
          <w:marRight w:val="0"/>
          <w:marTop w:val="0"/>
          <w:marBottom w:val="0"/>
          <w:divBdr>
            <w:top w:val="none" w:sz="0" w:space="0" w:color="auto"/>
            <w:left w:val="none" w:sz="0" w:space="0" w:color="auto"/>
            <w:bottom w:val="none" w:sz="0" w:space="0" w:color="auto"/>
            <w:right w:val="none" w:sz="0" w:space="0" w:color="auto"/>
          </w:divBdr>
        </w:div>
        <w:div w:id="1381900626">
          <w:marLeft w:val="0"/>
          <w:marRight w:val="0"/>
          <w:marTop w:val="0"/>
          <w:marBottom w:val="0"/>
          <w:divBdr>
            <w:top w:val="none" w:sz="0" w:space="0" w:color="auto"/>
            <w:left w:val="none" w:sz="0" w:space="0" w:color="auto"/>
            <w:bottom w:val="none" w:sz="0" w:space="0" w:color="auto"/>
            <w:right w:val="none" w:sz="0" w:space="0" w:color="auto"/>
          </w:divBdr>
        </w:div>
        <w:div w:id="1521433747">
          <w:marLeft w:val="0"/>
          <w:marRight w:val="0"/>
          <w:marTop w:val="0"/>
          <w:marBottom w:val="0"/>
          <w:divBdr>
            <w:top w:val="none" w:sz="0" w:space="0" w:color="auto"/>
            <w:left w:val="none" w:sz="0" w:space="0" w:color="auto"/>
            <w:bottom w:val="none" w:sz="0" w:space="0" w:color="auto"/>
            <w:right w:val="none" w:sz="0" w:space="0" w:color="auto"/>
          </w:divBdr>
        </w:div>
        <w:div w:id="1754204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6/7865/2024/es/" TargetMode="External"/><Relationship Id="rId3" Type="http://schemas.openxmlformats.org/officeDocument/2006/relationships/settings" Target="settings.xml"/><Relationship Id="rId7" Type="http://schemas.openxmlformats.org/officeDocument/2006/relationships/hyperlink" Target="https://www.amnesty.org/en/latest/news/2024/08/jordan-new-cybercrimes-law-stifling-freedom-of-expression-one-year-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4985</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2025-02-11T12:13:00Z</dcterms:created>
  <dcterms:modified xsi:type="dcterms:W3CDTF">2025-02-11T12:15:00Z</dcterms:modified>
</cp:coreProperties>
</file>