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2D2CE27" w14:textId="0E7D2B84" w:rsidR="0034128A" w:rsidRPr="00416646"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0C3B7F2B" w14:textId="77777777" w:rsidR="005D2C37" w:rsidRPr="00416646" w:rsidRDefault="005D2C37" w:rsidP="00980425">
      <w:pPr>
        <w:pStyle w:val="Default"/>
        <w:ind w:left="-283"/>
        <w:rPr>
          <w:b/>
          <w:sz w:val="20"/>
          <w:szCs w:val="20"/>
          <w:lang w:val="es-ES"/>
        </w:rPr>
      </w:pPr>
    </w:p>
    <w:p w14:paraId="618A55A8" w14:textId="70CC4862" w:rsidR="0034128A" w:rsidRPr="00AB7EB4" w:rsidRDefault="00582543" w:rsidP="00EA68CE">
      <w:pPr>
        <w:spacing w:after="0"/>
        <w:ind w:left="-283"/>
        <w:rPr>
          <w:rFonts w:ascii="Arial" w:hAnsi="Arial" w:cs="Arial"/>
          <w:b/>
          <w:i/>
          <w:sz w:val="32"/>
          <w:szCs w:val="32"/>
          <w:lang w:val="es-ES"/>
        </w:rPr>
      </w:pPr>
      <w:r w:rsidRPr="00AB7EB4">
        <w:rPr>
          <w:rFonts w:ascii="Arial" w:hAnsi="Arial" w:cs="Arial"/>
          <w:b/>
          <w:bCs/>
          <w:sz w:val="32"/>
          <w:szCs w:val="32"/>
          <w:lang w:val="es"/>
        </w:rPr>
        <w:t>DEFENSORA DE LOS DERECHOS HUMANOS EN HUELGA DE HAMBRE</w:t>
      </w:r>
    </w:p>
    <w:p w14:paraId="33C3E0CA" w14:textId="79CAEAA5" w:rsidR="005D2C37" w:rsidRPr="00AB7EB4" w:rsidRDefault="005E1751" w:rsidP="007E53F7">
      <w:pPr>
        <w:spacing w:after="0"/>
        <w:ind w:left="-283"/>
        <w:jc w:val="both"/>
        <w:rPr>
          <w:rFonts w:ascii="Arial" w:hAnsi="Arial" w:cs="Arial"/>
          <w:b/>
          <w:sz w:val="20"/>
          <w:szCs w:val="20"/>
          <w:lang w:val="es-ES"/>
        </w:rPr>
      </w:pPr>
      <w:r w:rsidRPr="00AB7EB4">
        <w:rPr>
          <w:rFonts w:ascii="Arial" w:hAnsi="Arial" w:cs="Arial"/>
          <w:b/>
          <w:bCs/>
          <w:sz w:val="20"/>
          <w:szCs w:val="20"/>
          <w:lang w:val="es"/>
        </w:rPr>
        <w:t xml:space="preserve">El 14 de enero, en el 14 aniversario de la Revolución tunecina, la destacada defensora de los derechos humanos </w:t>
      </w:r>
      <w:proofErr w:type="spellStart"/>
      <w:r w:rsidRPr="00AB7EB4">
        <w:rPr>
          <w:rFonts w:ascii="Arial" w:hAnsi="Arial" w:cs="Arial"/>
          <w:b/>
          <w:bCs/>
          <w:sz w:val="20"/>
          <w:szCs w:val="20"/>
          <w:lang w:val="es"/>
        </w:rPr>
        <w:t>Sihem</w:t>
      </w:r>
      <w:proofErr w:type="spellEnd"/>
      <w:r w:rsidRPr="00AB7EB4">
        <w:rPr>
          <w:rFonts w:ascii="Arial" w:hAnsi="Arial" w:cs="Arial"/>
          <w:b/>
          <w:bCs/>
          <w:sz w:val="20"/>
          <w:szCs w:val="20"/>
          <w:lang w:val="es"/>
        </w:rPr>
        <w:t xml:space="preserve"> </w:t>
      </w:r>
      <w:proofErr w:type="spellStart"/>
      <w:r w:rsidRPr="00AB7EB4">
        <w:rPr>
          <w:rFonts w:ascii="Arial" w:hAnsi="Arial" w:cs="Arial"/>
          <w:b/>
          <w:bCs/>
          <w:sz w:val="20"/>
          <w:szCs w:val="20"/>
          <w:lang w:val="es"/>
        </w:rPr>
        <w:t>Bensedrine</w:t>
      </w:r>
      <w:proofErr w:type="spellEnd"/>
      <w:r w:rsidRPr="00AB7EB4">
        <w:rPr>
          <w:rFonts w:ascii="Arial" w:hAnsi="Arial" w:cs="Arial"/>
          <w:b/>
          <w:bCs/>
          <w:sz w:val="20"/>
          <w:szCs w:val="20"/>
          <w:lang w:val="es"/>
        </w:rPr>
        <w:t xml:space="preserve"> anunció una huelga de hambre indefinida, en protesta por la detención arbitraria a la que está sometida desde agosto de 2024 únicamente por ejercer sus derechos humanos. El 26 de enero, fue hospitalizada debido a complicaciones de su salud. El 28 de enero de 2025, su asistencia letrada tuvo conocimiento de que un juez de instrucción de Túnez había prorrogado su detención en espera de juicio otros cuatro meses por los cargos de “fraude”, “falsificación” y “abuso de las funciones públicas” en relación con su papel en la denuncia de presunta corrupción, como presidenta de la Comisión de la Verdad y la Dignidad (IVD). Las autoridades deben liberar de forma inmediata e incondicional a </w:t>
      </w:r>
      <w:proofErr w:type="spellStart"/>
      <w:r w:rsidRPr="00AB7EB4">
        <w:rPr>
          <w:rFonts w:ascii="Arial" w:hAnsi="Arial" w:cs="Arial"/>
          <w:b/>
          <w:bCs/>
          <w:sz w:val="20"/>
          <w:szCs w:val="20"/>
          <w:lang w:val="es"/>
        </w:rPr>
        <w:t>Sihem</w:t>
      </w:r>
      <w:proofErr w:type="spellEnd"/>
      <w:r w:rsidRPr="00AB7EB4">
        <w:rPr>
          <w:rFonts w:ascii="Arial" w:hAnsi="Arial" w:cs="Arial"/>
          <w:b/>
          <w:bCs/>
          <w:sz w:val="20"/>
          <w:szCs w:val="20"/>
          <w:lang w:val="es"/>
        </w:rPr>
        <w:t xml:space="preserve"> </w:t>
      </w:r>
      <w:proofErr w:type="spellStart"/>
      <w:r w:rsidRPr="00AB7EB4">
        <w:rPr>
          <w:rFonts w:ascii="Arial" w:hAnsi="Arial" w:cs="Arial"/>
          <w:b/>
          <w:bCs/>
          <w:sz w:val="20"/>
          <w:szCs w:val="20"/>
          <w:lang w:val="es"/>
        </w:rPr>
        <w:t>Bensedrine</w:t>
      </w:r>
      <w:proofErr w:type="spellEnd"/>
      <w:r w:rsidRPr="00AB7EB4">
        <w:rPr>
          <w:rFonts w:ascii="Arial" w:hAnsi="Arial" w:cs="Arial"/>
          <w:b/>
          <w:bCs/>
          <w:sz w:val="20"/>
          <w:szCs w:val="20"/>
          <w:lang w:val="es"/>
        </w:rPr>
        <w:t>, retirar todos los cargos presentados contra ella y poner fin al uso indebido del sistema de justicia penal para perseguirla.</w:t>
      </w:r>
    </w:p>
    <w:p w14:paraId="1359849A" w14:textId="77777777" w:rsidR="007E53F7" w:rsidRPr="00416646" w:rsidRDefault="007E53F7" w:rsidP="007E53F7">
      <w:pPr>
        <w:spacing w:after="0"/>
        <w:ind w:left="-283"/>
        <w:rPr>
          <w:rFonts w:ascii="Arial" w:hAnsi="Arial" w:cs="Arial"/>
          <w:b/>
          <w:sz w:val="20"/>
          <w:szCs w:val="28"/>
          <w:lang w:val="es-ES"/>
        </w:rPr>
      </w:pPr>
    </w:p>
    <w:p w14:paraId="73913EB7" w14:textId="29F8B5F7" w:rsidR="005D2C37" w:rsidRPr="00416646" w:rsidRDefault="005D2C37" w:rsidP="00834E00">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38732D80" w14:textId="77777777" w:rsidR="00834E00" w:rsidRPr="00416646" w:rsidRDefault="00834E00" w:rsidP="0003216C">
      <w:pPr>
        <w:spacing w:after="0" w:line="240" w:lineRule="auto"/>
        <w:ind w:left="-283"/>
        <w:jc w:val="right"/>
        <w:rPr>
          <w:rFonts w:cs="Arial"/>
          <w:b/>
          <w:i/>
          <w:szCs w:val="18"/>
          <w:lang w:val="es-ES"/>
        </w:rPr>
      </w:pPr>
    </w:p>
    <w:p w14:paraId="7E61F12E" w14:textId="77777777" w:rsidR="00416646" w:rsidRPr="00416646" w:rsidRDefault="0003216C" w:rsidP="0003216C">
      <w:pPr>
        <w:spacing w:after="0" w:line="240" w:lineRule="auto"/>
        <w:ind w:left="-283"/>
        <w:jc w:val="right"/>
        <w:rPr>
          <w:rFonts w:cs="Arial"/>
          <w:b/>
          <w:bCs/>
          <w:i/>
          <w:iCs/>
          <w:sz w:val="20"/>
          <w:szCs w:val="20"/>
          <w:u w:val="single"/>
          <w:lang w:val="fr-FR"/>
        </w:rPr>
      </w:pPr>
      <w:proofErr w:type="spellStart"/>
      <w:r w:rsidRPr="00416646">
        <w:rPr>
          <w:rFonts w:cs="Arial"/>
          <w:b/>
          <w:bCs/>
          <w:i/>
          <w:iCs/>
          <w:sz w:val="20"/>
          <w:szCs w:val="20"/>
          <w:u w:val="single"/>
          <w:lang w:val="fr-FR"/>
        </w:rPr>
        <w:t>Presidente</w:t>
      </w:r>
      <w:proofErr w:type="spellEnd"/>
      <w:r w:rsidRPr="00416646">
        <w:rPr>
          <w:rFonts w:cs="Arial"/>
          <w:b/>
          <w:bCs/>
          <w:i/>
          <w:iCs/>
          <w:sz w:val="20"/>
          <w:szCs w:val="20"/>
          <w:u w:val="single"/>
          <w:lang w:val="fr-FR"/>
        </w:rPr>
        <w:t xml:space="preserve"> de la República</w:t>
      </w:r>
    </w:p>
    <w:p w14:paraId="11CF875A" w14:textId="3AB0D6D0" w:rsidR="0003216C" w:rsidRPr="00342831" w:rsidRDefault="0003216C" w:rsidP="0003216C">
      <w:pPr>
        <w:spacing w:after="0" w:line="240" w:lineRule="auto"/>
        <w:ind w:left="-283"/>
        <w:jc w:val="right"/>
        <w:rPr>
          <w:rFonts w:cs="Arial"/>
          <w:b/>
          <w:i/>
          <w:sz w:val="20"/>
          <w:szCs w:val="20"/>
          <w:lang w:val="fr-FR"/>
        </w:rPr>
      </w:pPr>
      <w:proofErr w:type="spellStart"/>
      <w:r w:rsidRPr="00342831">
        <w:rPr>
          <w:rFonts w:cs="Arial"/>
          <w:b/>
          <w:bCs/>
          <w:i/>
          <w:iCs/>
          <w:sz w:val="20"/>
          <w:szCs w:val="20"/>
          <w:lang w:val="fr-FR"/>
        </w:rPr>
        <w:t>President</w:t>
      </w:r>
      <w:proofErr w:type="spellEnd"/>
      <w:r w:rsidRPr="00342831">
        <w:rPr>
          <w:rFonts w:cs="Arial"/>
          <w:b/>
          <w:bCs/>
          <w:i/>
          <w:iCs/>
          <w:sz w:val="20"/>
          <w:szCs w:val="20"/>
          <w:lang w:val="fr-FR"/>
        </w:rPr>
        <w:t xml:space="preserve"> of the Republic, Kais </w:t>
      </w:r>
      <w:proofErr w:type="spellStart"/>
      <w:r w:rsidRPr="00342831">
        <w:rPr>
          <w:rFonts w:cs="Arial"/>
          <w:b/>
          <w:bCs/>
          <w:i/>
          <w:iCs/>
          <w:sz w:val="20"/>
          <w:szCs w:val="20"/>
          <w:lang w:val="fr-FR"/>
        </w:rPr>
        <w:t>Saied</w:t>
      </w:r>
      <w:proofErr w:type="spellEnd"/>
    </w:p>
    <w:p w14:paraId="41364576" w14:textId="4C494830" w:rsidR="0003216C" w:rsidRPr="00416646" w:rsidRDefault="0003216C" w:rsidP="0039732A">
      <w:pPr>
        <w:spacing w:after="0" w:line="240" w:lineRule="auto"/>
        <w:ind w:left="-283"/>
        <w:jc w:val="right"/>
        <w:rPr>
          <w:rFonts w:cs="Arial"/>
          <w:i/>
          <w:sz w:val="20"/>
          <w:szCs w:val="20"/>
          <w:lang w:val="fr-FR"/>
        </w:rPr>
      </w:pPr>
      <w:r w:rsidRPr="00416646">
        <w:rPr>
          <w:rFonts w:cs="Arial"/>
          <w:i/>
          <w:iCs/>
          <w:sz w:val="20"/>
          <w:szCs w:val="20"/>
          <w:lang w:val="fr-FR"/>
        </w:rPr>
        <w:t xml:space="preserve">Route de la Goulette Site archéologique de Carthage, </w:t>
      </w:r>
      <w:proofErr w:type="spellStart"/>
      <w:r w:rsidRPr="00416646">
        <w:rPr>
          <w:rFonts w:cs="Arial"/>
          <w:i/>
          <w:iCs/>
          <w:sz w:val="20"/>
          <w:szCs w:val="20"/>
          <w:lang w:val="fr-FR"/>
        </w:rPr>
        <w:t>Túnez</w:t>
      </w:r>
      <w:proofErr w:type="spellEnd"/>
    </w:p>
    <w:p w14:paraId="3AD1BF63" w14:textId="5755B09C" w:rsidR="0003216C" w:rsidRPr="00AB7EB4" w:rsidRDefault="0003216C" w:rsidP="003225D4">
      <w:pPr>
        <w:spacing w:after="0" w:line="240" w:lineRule="auto"/>
        <w:ind w:left="-283"/>
        <w:jc w:val="right"/>
        <w:rPr>
          <w:rFonts w:cs="Arial"/>
          <w:i/>
          <w:sz w:val="20"/>
          <w:szCs w:val="20"/>
          <w:lang w:val="pt-BR"/>
        </w:rPr>
      </w:pPr>
      <w:proofErr w:type="spellStart"/>
      <w:r w:rsidRPr="00AB7EB4">
        <w:rPr>
          <w:rFonts w:cs="Arial"/>
          <w:i/>
          <w:iCs/>
          <w:sz w:val="20"/>
          <w:szCs w:val="20"/>
          <w:lang w:val="pt-BR"/>
        </w:rPr>
        <w:t>Correo-e</w:t>
      </w:r>
      <w:proofErr w:type="spellEnd"/>
      <w:r w:rsidRPr="00AB7EB4">
        <w:rPr>
          <w:rFonts w:cs="Arial"/>
          <w:i/>
          <w:iCs/>
          <w:sz w:val="20"/>
          <w:szCs w:val="20"/>
          <w:lang w:val="pt-BR"/>
        </w:rPr>
        <w:t xml:space="preserve">: </w:t>
      </w:r>
      <w:hyperlink r:id="rId7" w:history="1">
        <w:r w:rsidRPr="00AB7EB4">
          <w:rPr>
            <w:rStyle w:val="Hipervnculo"/>
            <w:rFonts w:cs="Arial"/>
            <w:i/>
            <w:iCs/>
            <w:sz w:val="20"/>
            <w:szCs w:val="20"/>
            <w:lang w:val="pt-BR"/>
          </w:rPr>
          <w:t>contact@carthage.tn</w:t>
        </w:r>
      </w:hyperlink>
      <w:r w:rsidRPr="00AB7EB4">
        <w:rPr>
          <w:rStyle w:val="Hipervnculo"/>
          <w:rFonts w:cs="Arial"/>
          <w:i/>
          <w:iCs/>
          <w:sz w:val="20"/>
          <w:szCs w:val="20"/>
          <w:u w:val="none"/>
          <w:lang w:val="pt-BR"/>
        </w:rPr>
        <w:t>;</w:t>
      </w:r>
      <w:r w:rsidRPr="00AB7EB4">
        <w:rPr>
          <w:rStyle w:val="Hipervnculo"/>
          <w:rFonts w:cs="Arial"/>
          <w:i/>
          <w:iCs/>
          <w:sz w:val="20"/>
          <w:szCs w:val="20"/>
          <w:lang w:val="pt-BR"/>
        </w:rPr>
        <w:t xml:space="preserve"> </w:t>
      </w:r>
      <w:r w:rsidRPr="00AB7EB4">
        <w:rPr>
          <w:rFonts w:cs="Arial"/>
          <w:i/>
          <w:iCs/>
          <w:sz w:val="20"/>
          <w:szCs w:val="20"/>
          <w:lang w:val="pt-BR"/>
        </w:rPr>
        <w:t>X: @TnPresidency</w:t>
      </w:r>
    </w:p>
    <w:p w14:paraId="2609C778" w14:textId="77777777" w:rsidR="00834E00" w:rsidRPr="00AB7EB4" w:rsidRDefault="00834E00" w:rsidP="003225D4">
      <w:pPr>
        <w:spacing w:after="0" w:line="240" w:lineRule="auto"/>
        <w:ind w:left="-283"/>
        <w:jc w:val="right"/>
        <w:rPr>
          <w:rFonts w:cs="Arial"/>
          <w:i/>
          <w:sz w:val="20"/>
          <w:szCs w:val="20"/>
          <w:lang w:val="pt-BR"/>
        </w:rPr>
      </w:pPr>
    </w:p>
    <w:p w14:paraId="64B123C4" w14:textId="7C581190" w:rsidR="005D2C37" w:rsidRPr="00AB7EB4" w:rsidRDefault="0003216C" w:rsidP="00AB7EB4">
      <w:pPr>
        <w:spacing w:after="160" w:line="240" w:lineRule="auto"/>
        <w:ind w:left="-283"/>
        <w:rPr>
          <w:rFonts w:cs="Arial"/>
          <w:i/>
          <w:sz w:val="19"/>
          <w:szCs w:val="19"/>
          <w:lang w:val="es-ES"/>
        </w:rPr>
      </w:pPr>
      <w:r w:rsidRPr="00AB7EB4">
        <w:rPr>
          <w:rFonts w:cs="Arial"/>
          <w:i/>
          <w:iCs/>
          <w:sz w:val="19"/>
          <w:szCs w:val="19"/>
          <w:lang w:val="es"/>
        </w:rPr>
        <w:t>Excelencia:</w:t>
      </w:r>
    </w:p>
    <w:p w14:paraId="3150A176" w14:textId="59A6C436" w:rsidR="00EA68CE" w:rsidRPr="00AB7EB4" w:rsidRDefault="00261378" w:rsidP="00AB7EB4">
      <w:pPr>
        <w:spacing w:after="160" w:line="240" w:lineRule="auto"/>
        <w:ind w:left="-283"/>
        <w:jc w:val="both"/>
        <w:rPr>
          <w:rFonts w:cs="Arial"/>
          <w:i/>
          <w:sz w:val="19"/>
          <w:szCs w:val="19"/>
          <w:lang w:val="es-ES"/>
        </w:rPr>
      </w:pPr>
      <w:r w:rsidRPr="00AB7EB4">
        <w:rPr>
          <w:rFonts w:cs="Arial"/>
          <w:i/>
          <w:iCs/>
          <w:sz w:val="19"/>
          <w:szCs w:val="19"/>
          <w:lang w:val="es"/>
        </w:rPr>
        <w:t xml:space="preserve">Me dirijo a usted para expresarle mi honda preocupación por la detención arbitraria de la destacada defensora de los derechos humanos </w:t>
      </w:r>
      <w:proofErr w:type="spellStart"/>
      <w:r w:rsidRPr="00AB7EB4">
        <w:rPr>
          <w:rFonts w:cs="Arial"/>
          <w:i/>
          <w:iCs/>
          <w:sz w:val="19"/>
          <w:szCs w:val="19"/>
          <w:lang w:val="es"/>
        </w:rPr>
        <w:t>Sihem</w:t>
      </w:r>
      <w:proofErr w:type="spellEnd"/>
      <w:r w:rsidRPr="00AB7EB4">
        <w:rPr>
          <w:rFonts w:cs="Arial"/>
          <w:i/>
          <w:iCs/>
          <w:sz w:val="19"/>
          <w:szCs w:val="19"/>
          <w:lang w:val="es"/>
        </w:rPr>
        <w:t xml:space="preserve"> </w:t>
      </w:r>
      <w:proofErr w:type="spellStart"/>
      <w:r w:rsidRPr="00AB7EB4">
        <w:rPr>
          <w:rFonts w:cs="Arial"/>
          <w:i/>
          <w:iCs/>
          <w:sz w:val="19"/>
          <w:szCs w:val="19"/>
          <w:lang w:val="es"/>
        </w:rPr>
        <w:t>Bensedrine</w:t>
      </w:r>
      <w:proofErr w:type="spellEnd"/>
      <w:r w:rsidRPr="00AB7EB4">
        <w:rPr>
          <w:rFonts w:cs="Arial"/>
          <w:i/>
          <w:iCs/>
          <w:sz w:val="19"/>
          <w:szCs w:val="19"/>
          <w:lang w:val="es"/>
        </w:rPr>
        <w:t xml:space="preserve">, de 74 años, desde su arresto el 1 de agosto. El 14 de enero, </w:t>
      </w:r>
      <w:proofErr w:type="spellStart"/>
      <w:r w:rsidRPr="00AB7EB4">
        <w:rPr>
          <w:rFonts w:cs="Arial"/>
          <w:i/>
          <w:iCs/>
          <w:sz w:val="19"/>
          <w:szCs w:val="19"/>
          <w:lang w:val="es"/>
        </w:rPr>
        <w:t>Sihem</w:t>
      </w:r>
      <w:proofErr w:type="spellEnd"/>
      <w:r w:rsidRPr="00AB7EB4">
        <w:rPr>
          <w:rFonts w:cs="Arial"/>
          <w:i/>
          <w:iCs/>
          <w:sz w:val="19"/>
          <w:szCs w:val="19"/>
          <w:lang w:val="es"/>
        </w:rPr>
        <w:t xml:space="preserve"> </w:t>
      </w:r>
      <w:proofErr w:type="spellStart"/>
      <w:r w:rsidRPr="00AB7EB4">
        <w:rPr>
          <w:rFonts w:cs="Arial"/>
          <w:i/>
          <w:iCs/>
          <w:sz w:val="19"/>
          <w:szCs w:val="19"/>
          <w:lang w:val="es"/>
        </w:rPr>
        <w:t>Bensedrine</w:t>
      </w:r>
      <w:proofErr w:type="spellEnd"/>
      <w:r w:rsidRPr="00AB7EB4">
        <w:rPr>
          <w:rFonts w:cs="Arial"/>
          <w:i/>
          <w:iCs/>
          <w:sz w:val="19"/>
          <w:szCs w:val="19"/>
          <w:lang w:val="es"/>
        </w:rPr>
        <w:t xml:space="preserve"> anunció una huelga de hambre indefinida para protestar por su detención arbitraria. Su asistencia letrada publicó en su página de Facebook este </w:t>
      </w:r>
      <w:hyperlink r:id="rId8" w:history="1">
        <w:r w:rsidRPr="00AB7EB4">
          <w:rPr>
            <w:rStyle w:val="Hipervnculo"/>
            <w:rFonts w:cs="Arial"/>
            <w:i/>
            <w:iCs/>
            <w:sz w:val="19"/>
            <w:szCs w:val="19"/>
            <w:lang w:val="es"/>
          </w:rPr>
          <w:t>mensaje</w:t>
        </w:r>
      </w:hyperlink>
      <w:r w:rsidRPr="00AB7EB4">
        <w:rPr>
          <w:rFonts w:cs="Arial"/>
          <w:i/>
          <w:iCs/>
          <w:sz w:val="19"/>
          <w:szCs w:val="19"/>
          <w:lang w:val="es"/>
        </w:rPr>
        <w:t xml:space="preserve">, en el que anunciaba su huelga de hambre: “No seguiré soportando la injusticia que me azota. La justicia no debe basarse en mentiras y calamidades, sino en pruebas concretas y tangibles”. Está detenida únicamente en relación con su trabajo como presidenta de la Comisión de la Verdad y la Dignidad (IVD) de 2014 a 2018, que investigó y remitió a la Fiscalía sus conclusiones sobre crímenes cometidos por las autoridades tunecinas de 1955 a 2013. </w:t>
      </w:r>
    </w:p>
    <w:p w14:paraId="7772DAD2" w14:textId="6DC2320B" w:rsidR="00EA6527" w:rsidRPr="00AB7EB4" w:rsidRDefault="00261378" w:rsidP="00AB7EB4">
      <w:pPr>
        <w:spacing w:after="160" w:line="240" w:lineRule="auto"/>
        <w:ind w:left="-283"/>
        <w:jc w:val="both"/>
        <w:rPr>
          <w:rFonts w:cs="Arial"/>
          <w:i/>
          <w:sz w:val="19"/>
          <w:szCs w:val="19"/>
          <w:lang w:val="es-ES"/>
        </w:rPr>
      </w:pPr>
      <w:proofErr w:type="spellStart"/>
      <w:r w:rsidRPr="00AB7EB4">
        <w:rPr>
          <w:rFonts w:cs="Arial"/>
          <w:i/>
          <w:iCs/>
          <w:sz w:val="19"/>
          <w:szCs w:val="19"/>
          <w:lang w:val="es"/>
        </w:rPr>
        <w:t>Sihem</w:t>
      </w:r>
      <w:proofErr w:type="spellEnd"/>
      <w:r w:rsidRPr="00AB7EB4">
        <w:rPr>
          <w:rFonts w:cs="Arial"/>
          <w:i/>
          <w:iCs/>
          <w:sz w:val="19"/>
          <w:szCs w:val="19"/>
          <w:lang w:val="es"/>
        </w:rPr>
        <w:t xml:space="preserve"> </w:t>
      </w:r>
      <w:proofErr w:type="spellStart"/>
      <w:r w:rsidRPr="00AB7EB4">
        <w:rPr>
          <w:rFonts w:cs="Arial"/>
          <w:i/>
          <w:iCs/>
          <w:sz w:val="19"/>
          <w:szCs w:val="19"/>
          <w:lang w:val="es"/>
        </w:rPr>
        <w:t>Bensedrine</w:t>
      </w:r>
      <w:proofErr w:type="spellEnd"/>
      <w:r w:rsidRPr="00AB7EB4">
        <w:rPr>
          <w:rFonts w:cs="Arial"/>
          <w:i/>
          <w:iCs/>
          <w:sz w:val="19"/>
          <w:szCs w:val="19"/>
          <w:lang w:val="es"/>
        </w:rPr>
        <w:t xml:space="preserve"> es objeto de investigación desde febrero de 2023, a raíz de una denuncia por parte de una exmiembro de la junta de la IVD que alegaba falsificación porque el informe final de la IVD había sido revisado después de su remisión al entonces presidente en diciembre de 2018. El 7 de marzo de 2023, un juez de instrucción acusó a </w:t>
      </w:r>
      <w:proofErr w:type="spellStart"/>
      <w:r w:rsidRPr="00AB7EB4">
        <w:rPr>
          <w:rFonts w:cs="Arial"/>
          <w:i/>
          <w:iCs/>
          <w:sz w:val="19"/>
          <w:szCs w:val="19"/>
          <w:lang w:val="es"/>
        </w:rPr>
        <w:t>Sihem</w:t>
      </w:r>
      <w:proofErr w:type="spellEnd"/>
      <w:r w:rsidRPr="00AB7EB4">
        <w:rPr>
          <w:rFonts w:cs="Arial"/>
          <w:i/>
          <w:iCs/>
          <w:sz w:val="19"/>
          <w:szCs w:val="19"/>
          <w:lang w:val="es"/>
        </w:rPr>
        <w:t xml:space="preserve"> </w:t>
      </w:r>
      <w:proofErr w:type="spellStart"/>
      <w:r w:rsidRPr="00AB7EB4">
        <w:rPr>
          <w:rFonts w:cs="Arial"/>
          <w:i/>
          <w:iCs/>
          <w:sz w:val="19"/>
          <w:szCs w:val="19"/>
          <w:lang w:val="es"/>
        </w:rPr>
        <w:t>Bensedrine</w:t>
      </w:r>
      <w:proofErr w:type="spellEnd"/>
      <w:r w:rsidRPr="00AB7EB4">
        <w:rPr>
          <w:rFonts w:cs="Arial"/>
          <w:i/>
          <w:iCs/>
          <w:sz w:val="19"/>
          <w:szCs w:val="19"/>
          <w:lang w:val="es"/>
        </w:rPr>
        <w:t xml:space="preserve"> de “falsificación”, “fraude” y “abuso de las funciones públicas”, y le prohibió viajar. El 1 de agosto de 2024, el juez ordenó la prisión en espera de juicio de </w:t>
      </w:r>
      <w:proofErr w:type="spellStart"/>
      <w:r w:rsidRPr="00AB7EB4">
        <w:rPr>
          <w:rFonts w:cs="Arial"/>
          <w:i/>
          <w:iCs/>
          <w:sz w:val="19"/>
          <w:szCs w:val="19"/>
          <w:lang w:val="es"/>
        </w:rPr>
        <w:t>Sihem</w:t>
      </w:r>
      <w:proofErr w:type="spellEnd"/>
      <w:r w:rsidRPr="00AB7EB4">
        <w:rPr>
          <w:rFonts w:cs="Arial"/>
          <w:i/>
          <w:iCs/>
          <w:sz w:val="19"/>
          <w:szCs w:val="19"/>
          <w:lang w:val="es"/>
        </w:rPr>
        <w:t xml:space="preserve"> </w:t>
      </w:r>
      <w:proofErr w:type="spellStart"/>
      <w:r w:rsidRPr="00AB7EB4">
        <w:rPr>
          <w:rFonts w:cs="Arial"/>
          <w:i/>
          <w:iCs/>
          <w:sz w:val="19"/>
          <w:szCs w:val="19"/>
          <w:lang w:val="es"/>
        </w:rPr>
        <w:t>Bensedrine</w:t>
      </w:r>
      <w:proofErr w:type="spellEnd"/>
      <w:r w:rsidRPr="00AB7EB4">
        <w:rPr>
          <w:rFonts w:cs="Arial"/>
          <w:i/>
          <w:iCs/>
          <w:sz w:val="19"/>
          <w:szCs w:val="19"/>
          <w:lang w:val="es"/>
        </w:rPr>
        <w:t xml:space="preserve">, que fue detenida ese mismo día. El 28 de enero de 2025, el juez de instrucción informó a su asistencia letrada de que había prorrogado su detención en espera de juicio otros cuatro meses. El procesamiento de </w:t>
      </w:r>
      <w:proofErr w:type="spellStart"/>
      <w:r w:rsidRPr="00AB7EB4">
        <w:rPr>
          <w:rFonts w:cs="Arial"/>
          <w:i/>
          <w:iCs/>
          <w:sz w:val="19"/>
          <w:szCs w:val="19"/>
          <w:lang w:val="es"/>
        </w:rPr>
        <w:t>Sihem</w:t>
      </w:r>
      <w:proofErr w:type="spellEnd"/>
      <w:r w:rsidRPr="00AB7EB4">
        <w:rPr>
          <w:rFonts w:cs="Arial"/>
          <w:i/>
          <w:iCs/>
          <w:sz w:val="19"/>
          <w:szCs w:val="19"/>
          <w:lang w:val="es"/>
        </w:rPr>
        <w:t xml:space="preserve"> </w:t>
      </w:r>
      <w:proofErr w:type="spellStart"/>
      <w:r w:rsidRPr="00AB7EB4">
        <w:rPr>
          <w:rFonts w:cs="Arial"/>
          <w:i/>
          <w:iCs/>
          <w:sz w:val="19"/>
          <w:szCs w:val="19"/>
          <w:lang w:val="es"/>
        </w:rPr>
        <w:t>Bensedrine</w:t>
      </w:r>
      <w:proofErr w:type="spellEnd"/>
      <w:r w:rsidRPr="00AB7EB4">
        <w:rPr>
          <w:rFonts w:cs="Arial"/>
          <w:i/>
          <w:iCs/>
          <w:sz w:val="19"/>
          <w:szCs w:val="19"/>
          <w:lang w:val="es"/>
        </w:rPr>
        <w:t xml:space="preserve"> parece ser una forma de represalia contra el trabajo de la IVD, que expone las denuncias de abusos contra los derechos humanos y corrupción cometidos por las autoridades tunecinas anteriores. </w:t>
      </w:r>
    </w:p>
    <w:p w14:paraId="334C8849" w14:textId="4E06B573" w:rsidR="0082127B" w:rsidRPr="00AB7EB4" w:rsidRDefault="00EA6527" w:rsidP="00AB7EB4">
      <w:pPr>
        <w:spacing w:after="160" w:line="240" w:lineRule="auto"/>
        <w:ind w:left="-283"/>
        <w:jc w:val="both"/>
        <w:rPr>
          <w:rFonts w:cs="Arial"/>
          <w:b/>
          <w:i/>
          <w:sz w:val="19"/>
          <w:szCs w:val="19"/>
          <w:lang w:val="es-ES"/>
        </w:rPr>
      </w:pPr>
      <w:r w:rsidRPr="00AB7EB4">
        <w:rPr>
          <w:rFonts w:cs="Arial"/>
          <w:i/>
          <w:iCs/>
          <w:sz w:val="19"/>
          <w:szCs w:val="19"/>
          <w:lang w:val="es"/>
        </w:rPr>
        <w:t xml:space="preserve">Desde el inicio de la huelga de hambre, la salud de </w:t>
      </w:r>
      <w:proofErr w:type="spellStart"/>
      <w:r w:rsidRPr="00AB7EB4">
        <w:rPr>
          <w:rFonts w:cs="Arial"/>
          <w:i/>
          <w:iCs/>
          <w:sz w:val="19"/>
          <w:szCs w:val="19"/>
          <w:lang w:val="es"/>
        </w:rPr>
        <w:t>Sihem</w:t>
      </w:r>
      <w:proofErr w:type="spellEnd"/>
      <w:r w:rsidRPr="00AB7EB4">
        <w:rPr>
          <w:rFonts w:cs="Arial"/>
          <w:i/>
          <w:iCs/>
          <w:sz w:val="19"/>
          <w:szCs w:val="19"/>
          <w:lang w:val="es"/>
        </w:rPr>
        <w:t xml:space="preserve"> </w:t>
      </w:r>
      <w:proofErr w:type="spellStart"/>
      <w:r w:rsidRPr="00AB7EB4">
        <w:rPr>
          <w:rFonts w:cs="Arial"/>
          <w:i/>
          <w:iCs/>
          <w:sz w:val="19"/>
          <w:szCs w:val="19"/>
          <w:lang w:val="es"/>
        </w:rPr>
        <w:t>Bensedrine</w:t>
      </w:r>
      <w:proofErr w:type="spellEnd"/>
      <w:r w:rsidRPr="00AB7EB4">
        <w:rPr>
          <w:rFonts w:cs="Arial"/>
          <w:i/>
          <w:iCs/>
          <w:sz w:val="19"/>
          <w:szCs w:val="19"/>
          <w:lang w:val="es"/>
        </w:rPr>
        <w:t xml:space="preserve"> se ha deteriorado rápidamente. Presenta debilidad y bajos niveles de oxígeno, lo que ha llevado a proporcionarle asistencia respiratoria en la enfermería de la prisión. El 26 de enero, fue trasladada a un hospital fuera de la prisión debido al empeoramiento de su estado de salud. Las afecciones preexistentes de </w:t>
      </w:r>
      <w:proofErr w:type="spellStart"/>
      <w:r w:rsidRPr="00AB7EB4">
        <w:rPr>
          <w:rFonts w:cs="Arial"/>
          <w:i/>
          <w:iCs/>
          <w:sz w:val="19"/>
          <w:szCs w:val="19"/>
          <w:lang w:val="es"/>
        </w:rPr>
        <w:t>Sihem</w:t>
      </w:r>
      <w:proofErr w:type="spellEnd"/>
      <w:r w:rsidRPr="00AB7EB4">
        <w:rPr>
          <w:rFonts w:cs="Arial"/>
          <w:i/>
          <w:iCs/>
          <w:sz w:val="19"/>
          <w:szCs w:val="19"/>
          <w:lang w:val="es"/>
        </w:rPr>
        <w:t xml:space="preserve"> </w:t>
      </w:r>
      <w:proofErr w:type="spellStart"/>
      <w:r w:rsidRPr="00AB7EB4">
        <w:rPr>
          <w:rFonts w:cs="Arial"/>
          <w:i/>
          <w:iCs/>
          <w:sz w:val="19"/>
          <w:szCs w:val="19"/>
          <w:lang w:val="es"/>
        </w:rPr>
        <w:t>Bensedrine</w:t>
      </w:r>
      <w:proofErr w:type="spellEnd"/>
      <w:r w:rsidRPr="00AB7EB4">
        <w:rPr>
          <w:rFonts w:cs="Arial"/>
          <w:i/>
          <w:iCs/>
          <w:sz w:val="19"/>
          <w:szCs w:val="19"/>
          <w:lang w:val="es"/>
        </w:rPr>
        <w:t xml:space="preserve">, en especial hipertensión arterial y problemas cardíacos, aumentan su vulnerabilidad. </w:t>
      </w:r>
      <w:r w:rsidR="00AD73B0" w:rsidRPr="00AB7EB4">
        <w:rPr>
          <w:rFonts w:cs="Arial"/>
          <w:i/>
          <w:iCs/>
          <w:sz w:val="19"/>
          <w:szCs w:val="19"/>
          <w:lang w:val="es"/>
        </w:rPr>
        <w:t xml:space="preserve"> </w:t>
      </w:r>
    </w:p>
    <w:p w14:paraId="1C7E4F4F" w14:textId="4C80E0BB" w:rsidR="00EA68CE" w:rsidRPr="00AB7EB4" w:rsidRDefault="007E53F7" w:rsidP="00AB7EB4">
      <w:pPr>
        <w:spacing w:after="160" w:line="240" w:lineRule="auto"/>
        <w:ind w:left="-283"/>
        <w:rPr>
          <w:rFonts w:cs="Arial"/>
          <w:b/>
          <w:i/>
          <w:sz w:val="19"/>
          <w:szCs w:val="19"/>
          <w:lang w:val="es-ES"/>
        </w:rPr>
      </w:pPr>
      <w:r w:rsidRPr="00AB7EB4">
        <w:rPr>
          <w:rFonts w:cs="Arial"/>
          <w:b/>
          <w:bCs/>
          <w:i/>
          <w:iCs/>
          <w:sz w:val="19"/>
          <w:szCs w:val="19"/>
          <w:lang w:val="es"/>
        </w:rPr>
        <w:t xml:space="preserve">Lo insto a liberar de forma inmediata e incondicional a </w:t>
      </w:r>
      <w:proofErr w:type="spellStart"/>
      <w:r w:rsidRPr="00AB7EB4">
        <w:rPr>
          <w:rFonts w:cs="Arial"/>
          <w:b/>
          <w:bCs/>
          <w:i/>
          <w:iCs/>
          <w:sz w:val="19"/>
          <w:szCs w:val="19"/>
          <w:lang w:val="es"/>
        </w:rPr>
        <w:t>Sihem</w:t>
      </w:r>
      <w:proofErr w:type="spellEnd"/>
      <w:r w:rsidRPr="00AB7EB4">
        <w:rPr>
          <w:rFonts w:cs="Arial"/>
          <w:b/>
          <w:bCs/>
          <w:i/>
          <w:iCs/>
          <w:sz w:val="19"/>
          <w:szCs w:val="19"/>
          <w:lang w:val="es"/>
        </w:rPr>
        <w:t xml:space="preserve"> </w:t>
      </w:r>
      <w:proofErr w:type="spellStart"/>
      <w:r w:rsidRPr="00AB7EB4">
        <w:rPr>
          <w:rFonts w:cs="Arial"/>
          <w:b/>
          <w:bCs/>
          <w:i/>
          <w:iCs/>
          <w:sz w:val="19"/>
          <w:szCs w:val="19"/>
          <w:lang w:val="es"/>
        </w:rPr>
        <w:t>Bensedrine</w:t>
      </w:r>
      <w:proofErr w:type="spellEnd"/>
      <w:r w:rsidRPr="00AB7EB4">
        <w:rPr>
          <w:rFonts w:cs="Arial"/>
          <w:b/>
          <w:bCs/>
          <w:i/>
          <w:iCs/>
          <w:sz w:val="19"/>
          <w:szCs w:val="19"/>
          <w:lang w:val="es"/>
        </w:rPr>
        <w:t>, a retirar todos los cargos presentados contra ella y a poner fin al uso indebido del sistema de justicia penal para perseguirla. Hasta que quede en libertad, debe tener un acceso adecuado a profesionales de la salud cualificados, que la atiendan conforme a la ética médica, incluidos los principios de confidencialidad, autonomía y consentimiento informado. Debe garantizar que tiene acceso a familiares y representación letrada, y que sus condiciones de reclusión cumplen las normas internacionales.</w:t>
      </w:r>
    </w:p>
    <w:p w14:paraId="2C17A98F" w14:textId="77777777" w:rsidR="00EA68CE" w:rsidRPr="00AB7EB4" w:rsidRDefault="00EA68CE" w:rsidP="00261378">
      <w:pPr>
        <w:spacing w:after="0" w:line="240" w:lineRule="auto"/>
        <w:rPr>
          <w:rFonts w:cs="Arial"/>
          <w:i/>
          <w:sz w:val="19"/>
          <w:szCs w:val="19"/>
          <w:lang w:val="es-ES"/>
        </w:rPr>
      </w:pPr>
    </w:p>
    <w:p w14:paraId="10C99F4E" w14:textId="519009C3" w:rsidR="00EA6527" w:rsidRPr="00AB7EB4" w:rsidRDefault="005D2C37" w:rsidP="00834E00">
      <w:pPr>
        <w:spacing w:after="0" w:line="240" w:lineRule="auto"/>
        <w:ind w:left="-283"/>
        <w:rPr>
          <w:rFonts w:cs="Arial"/>
          <w:i/>
          <w:sz w:val="19"/>
          <w:szCs w:val="19"/>
          <w:lang w:val="es-ES"/>
        </w:rPr>
      </w:pPr>
      <w:r w:rsidRPr="00AB7EB4">
        <w:rPr>
          <w:rFonts w:cs="Arial"/>
          <w:i/>
          <w:iCs/>
          <w:sz w:val="19"/>
          <w:szCs w:val="19"/>
          <w:lang w:val="es"/>
        </w:rPr>
        <w:t>Atentamente, [NOMBRE]</w:t>
      </w:r>
    </w:p>
    <w:p w14:paraId="089D1BDC" w14:textId="77777777" w:rsidR="0082127B" w:rsidRPr="00416646"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4F1408AD" w14:textId="77777777" w:rsidR="00834E00" w:rsidRPr="00416646" w:rsidRDefault="00834E00" w:rsidP="00520AF5">
      <w:pPr>
        <w:spacing w:line="240" w:lineRule="auto"/>
        <w:jc w:val="both"/>
        <w:rPr>
          <w:rFonts w:ascii="Arial" w:hAnsi="Arial" w:cs="Arial"/>
          <w:sz w:val="2"/>
          <w:szCs w:val="2"/>
          <w:lang w:val="es-ES"/>
        </w:rPr>
      </w:pPr>
    </w:p>
    <w:p w14:paraId="7234B9DA" w14:textId="1DD35296" w:rsidR="00520AF5" w:rsidRPr="00416646" w:rsidRDefault="00520AF5" w:rsidP="00520AF5">
      <w:pPr>
        <w:spacing w:line="240" w:lineRule="auto"/>
        <w:jc w:val="both"/>
        <w:rPr>
          <w:rFonts w:asciiTheme="minorBidi" w:hAnsiTheme="minorBidi" w:cstheme="minorBidi"/>
          <w:lang w:val="es-ES"/>
        </w:rPr>
      </w:pPr>
      <w:proofErr w:type="spellStart"/>
      <w:r>
        <w:rPr>
          <w:rFonts w:asciiTheme="minorBidi" w:hAnsiTheme="minorBidi" w:cstheme="minorBidi"/>
          <w:lang w:val="es"/>
        </w:rPr>
        <w:t>Sihem</w:t>
      </w:r>
      <w:proofErr w:type="spellEnd"/>
      <w:r>
        <w:rPr>
          <w:rFonts w:asciiTheme="minorBidi" w:hAnsiTheme="minorBidi" w:cstheme="minorBidi"/>
          <w:lang w:val="es"/>
        </w:rPr>
        <w:t xml:space="preserve"> </w:t>
      </w:r>
      <w:proofErr w:type="spellStart"/>
      <w:r>
        <w:rPr>
          <w:rFonts w:asciiTheme="minorBidi" w:hAnsiTheme="minorBidi" w:cstheme="minorBidi"/>
          <w:lang w:val="es"/>
        </w:rPr>
        <w:t>Bensedrine</w:t>
      </w:r>
      <w:proofErr w:type="spellEnd"/>
      <w:r>
        <w:rPr>
          <w:rFonts w:asciiTheme="minorBidi" w:hAnsiTheme="minorBidi" w:cstheme="minorBidi"/>
          <w:lang w:val="es"/>
        </w:rPr>
        <w:t xml:space="preserve">, de 74 años, es una destacada defensora de los derechos humanos, reconocida por su periodismo independiente y su </w:t>
      </w:r>
      <w:hyperlink r:id="rId9" w:history="1">
        <w:r>
          <w:rPr>
            <w:rStyle w:val="Hipervnculo"/>
            <w:rFonts w:asciiTheme="minorBidi" w:hAnsiTheme="minorBidi" w:cstheme="minorBidi"/>
            <w:lang w:val="es"/>
          </w:rPr>
          <w:t>trabajo en favor de los derechos humanos</w:t>
        </w:r>
      </w:hyperlink>
      <w:r>
        <w:rPr>
          <w:rFonts w:asciiTheme="minorBidi" w:hAnsiTheme="minorBidi" w:cstheme="minorBidi"/>
          <w:lang w:val="es"/>
        </w:rPr>
        <w:t xml:space="preserve"> durante el mandato del expresidente Ben Ali, depuesto el 14 de enero de 2011. Desde que el presidente </w:t>
      </w:r>
      <w:proofErr w:type="spellStart"/>
      <w:r>
        <w:rPr>
          <w:rFonts w:asciiTheme="minorBidi" w:hAnsiTheme="minorBidi" w:cstheme="minorBidi"/>
          <w:lang w:val="es"/>
        </w:rPr>
        <w:t>Kais</w:t>
      </w:r>
      <w:proofErr w:type="spellEnd"/>
      <w:r>
        <w:rPr>
          <w:rFonts w:asciiTheme="minorBidi" w:hAnsiTheme="minorBidi" w:cstheme="minorBidi"/>
          <w:lang w:val="es"/>
        </w:rPr>
        <w:t xml:space="preserve"> </w:t>
      </w:r>
      <w:proofErr w:type="spellStart"/>
      <w:r>
        <w:rPr>
          <w:rFonts w:asciiTheme="minorBidi" w:hAnsiTheme="minorBidi" w:cstheme="minorBidi"/>
          <w:lang w:val="es"/>
        </w:rPr>
        <w:t>Saied</w:t>
      </w:r>
      <w:proofErr w:type="spellEnd"/>
      <w:r>
        <w:rPr>
          <w:rFonts w:asciiTheme="minorBidi" w:hAnsiTheme="minorBidi" w:cstheme="minorBidi"/>
          <w:lang w:val="es"/>
        </w:rPr>
        <w:t xml:space="preserve"> tomó el poder en julio de 2021, </w:t>
      </w:r>
      <w:proofErr w:type="spellStart"/>
      <w:r>
        <w:rPr>
          <w:rFonts w:asciiTheme="minorBidi" w:hAnsiTheme="minorBidi" w:cstheme="minorBidi"/>
          <w:lang w:val="es"/>
        </w:rPr>
        <w:t>Sihem</w:t>
      </w:r>
      <w:proofErr w:type="spellEnd"/>
      <w:r>
        <w:rPr>
          <w:rFonts w:asciiTheme="minorBidi" w:hAnsiTheme="minorBidi" w:cstheme="minorBidi"/>
          <w:lang w:val="es"/>
        </w:rPr>
        <w:t xml:space="preserve"> </w:t>
      </w:r>
      <w:proofErr w:type="spellStart"/>
      <w:r>
        <w:rPr>
          <w:rFonts w:asciiTheme="minorBidi" w:hAnsiTheme="minorBidi" w:cstheme="minorBidi"/>
          <w:lang w:val="es"/>
        </w:rPr>
        <w:t>Bensedrine</w:t>
      </w:r>
      <w:proofErr w:type="spellEnd"/>
      <w:r>
        <w:rPr>
          <w:rFonts w:asciiTheme="minorBidi" w:hAnsiTheme="minorBidi" w:cstheme="minorBidi"/>
          <w:lang w:val="es"/>
        </w:rPr>
        <w:t xml:space="preserve"> ha criticado abiertamente las acciones que socavan el Estado de derecho y la independencia judicial en Túnez. De 2014 a 2018, dirigió la IVD, organización establecida para documentar y procurar la rendición de cuentas por las violaciones de derechos humanos y la corrupción por parte de funcionarios estatales de 1955 a 2013, con autoridad para remitir </w:t>
      </w:r>
      <w:hyperlink r:id="rId10" w:history="1">
        <w:r>
          <w:rPr>
            <w:rStyle w:val="Hipervnculo"/>
            <w:rFonts w:asciiTheme="minorBidi" w:hAnsiTheme="minorBidi" w:cstheme="minorBidi"/>
            <w:lang w:val="es"/>
          </w:rPr>
          <w:t>casos graves</w:t>
        </w:r>
      </w:hyperlink>
      <w:r>
        <w:rPr>
          <w:rFonts w:asciiTheme="minorBidi" w:hAnsiTheme="minorBidi" w:cstheme="minorBidi"/>
          <w:lang w:val="es"/>
        </w:rPr>
        <w:t xml:space="preserve"> a salas penales especializadas en justicia transicional. </w:t>
      </w:r>
    </w:p>
    <w:p w14:paraId="01A7FBE1" w14:textId="75E09D1A" w:rsidR="0082127B" w:rsidRPr="00416646" w:rsidRDefault="00520AF5" w:rsidP="00B4779A">
      <w:pPr>
        <w:spacing w:line="240" w:lineRule="auto"/>
        <w:jc w:val="both"/>
        <w:rPr>
          <w:rFonts w:asciiTheme="minorBidi" w:hAnsiTheme="minorBidi" w:cstheme="minorBidi"/>
          <w:lang w:val="es-ES"/>
        </w:rPr>
      </w:pPr>
      <w:r>
        <w:rPr>
          <w:rFonts w:asciiTheme="minorBidi" w:hAnsiTheme="minorBidi" w:cstheme="minorBidi"/>
          <w:lang w:val="es"/>
        </w:rPr>
        <w:t xml:space="preserve">En diciembre de 2018, la IVD concluyó su trabajo y remitió 205 casos de violaciones de derechos humanos y corrupción para su enjuiciamiento ante las 13 salas penales especializadas de Túnez. Varios de estos casos estaban relacionados con presunta corrupción en el sector bancario. Entre las personas acusadas por la IVD de varios delitos relacionados con la corrupción figuran exministros, conocidos empresarios, exgobernadores del Banco Central, altos cargos de la banca pública y autoridades </w:t>
      </w:r>
      <w:proofErr w:type="spellStart"/>
      <w:r>
        <w:rPr>
          <w:rFonts w:asciiTheme="minorBidi" w:hAnsiTheme="minorBidi" w:cstheme="minorBidi"/>
          <w:lang w:val="es"/>
        </w:rPr>
        <w:t>gubernamentales.La</w:t>
      </w:r>
      <w:proofErr w:type="spellEnd"/>
      <w:r>
        <w:rPr>
          <w:rFonts w:asciiTheme="minorBidi" w:hAnsiTheme="minorBidi" w:cstheme="minorBidi"/>
          <w:lang w:val="es"/>
        </w:rPr>
        <w:t xml:space="preserve"> IVD, establecida en marzo de 2014 con un mandato de cuatro años (prorrogable por un año), prorrogó su mandato hasta finales de 2018, pese a la </w:t>
      </w:r>
      <w:hyperlink r:id="rId11" w:history="1">
        <w:r>
          <w:rPr>
            <w:rStyle w:val="Hipervnculo"/>
            <w:rFonts w:asciiTheme="minorBidi" w:hAnsiTheme="minorBidi" w:cstheme="minorBidi"/>
            <w:lang w:val="es"/>
          </w:rPr>
          <w:t>oposición</w:t>
        </w:r>
      </w:hyperlink>
      <w:r>
        <w:rPr>
          <w:rFonts w:asciiTheme="minorBidi" w:hAnsiTheme="minorBidi" w:cstheme="minorBidi"/>
          <w:lang w:val="es"/>
        </w:rPr>
        <w:t xml:space="preserve"> del Parlamento, que votó en contra. El 28 de diciembre de 2018, la Presidencia comunicó a la IVD que su informe debía presentarse tres días más tarde, el 31 de diciembre. Para cumplir con el plazo, la junta de la IVD, presidida por </w:t>
      </w:r>
      <w:proofErr w:type="spellStart"/>
      <w:r>
        <w:rPr>
          <w:rFonts w:asciiTheme="minorBidi" w:hAnsiTheme="minorBidi" w:cstheme="minorBidi"/>
          <w:lang w:val="es"/>
        </w:rPr>
        <w:t>Sihem</w:t>
      </w:r>
      <w:proofErr w:type="spellEnd"/>
      <w:r>
        <w:rPr>
          <w:rFonts w:asciiTheme="minorBidi" w:hAnsiTheme="minorBidi" w:cstheme="minorBidi"/>
          <w:lang w:val="es"/>
        </w:rPr>
        <w:t xml:space="preserve"> </w:t>
      </w:r>
      <w:proofErr w:type="spellStart"/>
      <w:r>
        <w:rPr>
          <w:rFonts w:asciiTheme="minorBidi" w:hAnsiTheme="minorBidi" w:cstheme="minorBidi"/>
          <w:lang w:val="es"/>
        </w:rPr>
        <w:t>Bensedrine</w:t>
      </w:r>
      <w:proofErr w:type="spellEnd"/>
      <w:r>
        <w:rPr>
          <w:rFonts w:asciiTheme="minorBidi" w:hAnsiTheme="minorBidi" w:cstheme="minorBidi"/>
          <w:lang w:val="es"/>
        </w:rPr>
        <w:t xml:space="preserve">, </w:t>
      </w:r>
      <w:r w:rsidR="00342831">
        <w:rPr>
          <w:rFonts w:asciiTheme="minorBidi" w:hAnsiTheme="minorBidi" w:cstheme="minorBidi"/>
          <w:lang w:val="es"/>
        </w:rPr>
        <w:t>adoptó</w:t>
      </w:r>
      <w:r>
        <w:rPr>
          <w:rFonts w:asciiTheme="minorBidi" w:hAnsiTheme="minorBidi" w:cstheme="minorBidi"/>
          <w:lang w:val="es"/>
        </w:rPr>
        <w:t xml:space="preserve"> un informe preliminar el 30 de diciembre de 2018, pendiente de revisión. El </w:t>
      </w:r>
      <w:hyperlink r:id="rId12" w:history="1">
        <w:r>
          <w:rPr>
            <w:rStyle w:val="Hipervnculo"/>
            <w:rFonts w:asciiTheme="minorBidi" w:hAnsiTheme="minorBidi" w:cstheme="minorBidi"/>
            <w:lang w:val="es"/>
          </w:rPr>
          <w:t>informe final</w:t>
        </w:r>
      </w:hyperlink>
      <w:r>
        <w:rPr>
          <w:rFonts w:asciiTheme="minorBidi" w:hAnsiTheme="minorBidi" w:cstheme="minorBidi"/>
          <w:lang w:val="es"/>
        </w:rPr>
        <w:t xml:space="preserve"> se publicó en el sitio web de la IVD el 26 de marzo de 2019 y en el Boletín Oficial (JORT) el 24 de junio de 2020. A lo largo de su mandato, la IVD se ha enfrentado a </w:t>
      </w:r>
      <w:hyperlink r:id="rId13" w:history="1">
        <w:r>
          <w:rPr>
            <w:rStyle w:val="Hipervnculo"/>
            <w:rFonts w:asciiTheme="minorBidi" w:hAnsiTheme="minorBidi" w:cstheme="minorBidi"/>
            <w:lang w:val="es"/>
          </w:rPr>
          <w:t>esfuerzos</w:t>
        </w:r>
      </w:hyperlink>
      <w:r>
        <w:rPr>
          <w:rFonts w:asciiTheme="minorBidi" w:hAnsiTheme="minorBidi" w:cstheme="minorBidi"/>
          <w:lang w:val="es"/>
        </w:rPr>
        <w:t xml:space="preserve"> por socavar su trabajo, y los organismos gubernamentales, como los ministerios del Interior y de Defensa, no cooperaron plenamente con ella.</w:t>
      </w:r>
    </w:p>
    <w:p w14:paraId="580AC17A" w14:textId="2760A450" w:rsidR="00D23D90" w:rsidRPr="00416646" w:rsidRDefault="00520AF5" w:rsidP="008B5C41">
      <w:pPr>
        <w:spacing w:line="240" w:lineRule="auto"/>
        <w:jc w:val="both"/>
        <w:rPr>
          <w:rFonts w:asciiTheme="minorBidi" w:hAnsiTheme="minorBidi" w:cstheme="minorBidi"/>
          <w:lang w:val="es-ES"/>
        </w:rPr>
      </w:pPr>
      <w:r>
        <w:rPr>
          <w:rFonts w:asciiTheme="minorBidi" w:hAnsiTheme="minorBidi" w:cstheme="minorBidi"/>
          <w:lang w:val="es"/>
        </w:rPr>
        <w:t xml:space="preserve">En mayo de 2020, una </w:t>
      </w:r>
      <w:proofErr w:type="spellStart"/>
      <w:r>
        <w:rPr>
          <w:rFonts w:asciiTheme="minorBidi" w:hAnsiTheme="minorBidi" w:cstheme="minorBidi"/>
          <w:lang w:val="es"/>
        </w:rPr>
        <w:t>excomisionada</w:t>
      </w:r>
      <w:proofErr w:type="spellEnd"/>
      <w:r>
        <w:rPr>
          <w:rFonts w:asciiTheme="minorBidi" w:hAnsiTheme="minorBidi" w:cstheme="minorBidi"/>
          <w:lang w:val="es"/>
        </w:rPr>
        <w:t xml:space="preserve"> de la IVD presentó una denuncia contra </w:t>
      </w:r>
      <w:proofErr w:type="spellStart"/>
      <w:r>
        <w:rPr>
          <w:rFonts w:asciiTheme="minorBidi" w:hAnsiTheme="minorBidi" w:cstheme="minorBidi"/>
          <w:lang w:val="es"/>
        </w:rPr>
        <w:t>Sihem</w:t>
      </w:r>
      <w:proofErr w:type="spellEnd"/>
      <w:r>
        <w:rPr>
          <w:rFonts w:asciiTheme="minorBidi" w:hAnsiTheme="minorBidi" w:cstheme="minorBidi"/>
          <w:lang w:val="es"/>
        </w:rPr>
        <w:t xml:space="preserve"> </w:t>
      </w:r>
      <w:proofErr w:type="spellStart"/>
      <w:r>
        <w:rPr>
          <w:rFonts w:asciiTheme="minorBidi" w:hAnsiTheme="minorBidi" w:cstheme="minorBidi"/>
          <w:lang w:val="es"/>
        </w:rPr>
        <w:t>Bensedrine</w:t>
      </w:r>
      <w:proofErr w:type="spellEnd"/>
      <w:r>
        <w:rPr>
          <w:rFonts w:asciiTheme="minorBidi" w:hAnsiTheme="minorBidi" w:cstheme="minorBidi"/>
          <w:lang w:val="es"/>
        </w:rPr>
        <w:t xml:space="preserve"> ante la Instancia Superior Nacional contra la Corrupción, acusándola de “falsificar el informe final” por añadir un capítulo sobre la corrupción en el sistema bancario tunecino, concretamente en relación con una disputa entre el gobierno y Banque Franco </w:t>
      </w:r>
      <w:proofErr w:type="spellStart"/>
      <w:r>
        <w:rPr>
          <w:rFonts w:asciiTheme="minorBidi" w:hAnsiTheme="minorBidi" w:cstheme="minorBidi"/>
          <w:lang w:val="es"/>
        </w:rPr>
        <w:t>Tunisienne</w:t>
      </w:r>
      <w:proofErr w:type="spellEnd"/>
      <w:r>
        <w:rPr>
          <w:rFonts w:asciiTheme="minorBidi" w:hAnsiTheme="minorBidi" w:cstheme="minorBidi"/>
          <w:lang w:val="es"/>
        </w:rPr>
        <w:t xml:space="preserve">. La denuncia sostiene que </w:t>
      </w:r>
      <w:proofErr w:type="spellStart"/>
      <w:r>
        <w:rPr>
          <w:rFonts w:asciiTheme="minorBidi" w:hAnsiTheme="minorBidi" w:cstheme="minorBidi"/>
          <w:lang w:val="es"/>
        </w:rPr>
        <w:t>Sihem</w:t>
      </w:r>
      <w:proofErr w:type="spellEnd"/>
      <w:r>
        <w:rPr>
          <w:rFonts w:asciiTheme="minorBidi" w:hAnsiTheme="minorBidi" w:cstheme="minorBidi"/>
          <w:lang w:val="es"/>
        </w:rPr>
        <w:t xml:space="preserve"> </w:t>
      </w:r>
      <w:proofErr w:type="spellStart"/>
      <w:r>
        <w:rPr>
          <w:rFonts w:asciiTheme="minorBidi" w:hAnsiTheme="minorBidi" w:cstheme="minorBidi"/>
          <w:lang w:val="es"/>
        </w:rPr>
        <w:t>Bensedrine</w:t>
      </w:r>
      <w:proofErr w:type="spellEnd"/>
      <w:r>
        <w:rPr>
          <w:rFonts w:asciiTheme="minorBidi" w:hAnsiTheme="minorBidi" w:cstheme="minorBidi"/>
          <w:lang w:val="es"/>
        </w:rPr>
        <w:t xml:space="preserve"> lo hizo para su beneficio personal, ya que el capítulo añadido podía dar lugar al pago de cuantiosas indemnizaciones por parte del gobierno. En marzo de 2021, la Instancia Superior Nacional contra la Corrupción remitió la denuncia a la </w:t>
      </w:r>
      <w:proofErr w:type="gramStart"/>
      <w:r>
        <w:rPr>
          <w:rFonts w:asciiTheme="minorBidi" w:hAnsiTheme="minorBidi" w:cstheme="minorBidi"/>
          <w:lang w:val="es"/>
        </w:rPr>
        <w:t>Fiscalía General</w:t>
      </w:r>
      <w:proofErr w:type="gramEnd"/>
      <w:r>
        <w:rPr>
          <w:rFonts w:asciiTheme="minorBidi" w:hAnsiTheme="minorBidi" w:cstheme="minorBidi"/>
          <w:lang w:val="es"/>
        </w:rPr>
        <w:t xml:space="preserve"> de Túnez. </w:t>
      </w:r>
      <w:r>
        <w:rPr>
          <w:rFonts w:asciiTheme="minorBidi" w:hAnsiTheme="minorBidi" w:cstheme="minorBidi"/>
          <w:szCs w:val="20"/>
          <w:lang w:val="es"/>
        </w:rPr>
        <w:t>En 2021, la unidad de investigaciones económicas de la policía judicial abrió una investigación sobre la denuncia y citó a miembros de la IVD para interrogarlos. La denuncia alegaba que las revisiones añadidas a la versión preliminar del informe en el capítulo sobre la corrupción en el sistema bancario equivalían a “falsificación” con la intención de “perjudicar al Estado tunecino”.</w:t>
      </w:r>
      <w:r>
        <w:rPr>
          <w:rFonts w:asciiTheme="minorBidi" w:hAnsiTheme="minorBidi" w:cstheme="minorBidi"/>
          <w:lang w:val="es"/>
        </w:rPr>
        <w:t xml:space="preserve"> </w:t>
      </w:r>
      <w:r>
        <w:rPr>
          <w:rFonts w:asciiTheme="minorBidi" w:hAnsiTheme="minorBidi" w:cstheme="minorBidi"/>
          <w:szCs w:val="20"/>
          <w:lang w:val="es"/>
        </w:rPr>
        <w:t xml:space="preserve">En el contexto de esta investigación, el 22 de noviembre de 2022, un juez de instrucción de la Unidad Judicial Económica y Financiera interrogó a </w:t>
      </w:r>
      <w:proofErr w:type="spellStart"/>
      <w:r>
        <w:rPr>
          <w:rFonts w:asciiTheme="minorBidi" w:hAnsiTheme="minorBidi" w:cstheme="minorBidi"/>
          <w:szCs w:val="20"/>
          <w:lang w:val="es"/>
        </w:rPr>
        <w:t>Sihem</w:t>
      </w:r>
      <w:proofErr w:type="spellEnd"/>
      <w:r>
        <w:rPr>
          <w:rFonts w:asciiTheme="minorBidi" w:hAnsiTheme="minorBidi" w:cstheme="minorBidi"/>
          <w:szCs w:val="20"/>
          <w:lang w:val="es"/>
        </w:rPr>
        <w:t xml:space="preserve"> </w:t>
      </w:r>
      <w:proofErr w:type="spellStart"/>
      <w:r>
        <w:rPr>
          <w:rFonts w:asciiTheme="minorBidi" w:hAnsiTheme="minorBidi" w:cstheme="minorBidi"/>
          <w:szCs w:val="20"/>
          <w:lang w:val="es"/>
        </w:rPr>
        <w:t>Bensedrine</w:t>
      </w:r>
      <w:proofErr w:type="spellEnd"/>
      <w:r>
        <w:rPr>
          <w:rFonts w:asciiTheme="minorBidi" w:hAnsiTheme="minorBidi" w:cstheme="minorBidi"/>
          <w:szCs w:val="20"/>
          <w:lang w:val="es"/>
        </w:rPr>
        <w:t xml:space="preserve"> como testigo. El 20 de febrero de 2023, la fiscalía solicitó al juez de instrucción que, en virtud de los artículos 32, 96, 98, 172, 175, 176 y 177 del Código Penal, imputara cargos a </w:t>
      </w:r>
      <w:proofErr w:type="spellStart"/>
      <w:r>
        <w:rPr>
          <w:rFonts w:asciiTheme="minorBidi" w:hAnsiTheme="minorBidi" w:cstheme="minorBidi"/>
          <w:szCs w:val="20"/>
          <w:lang w:val="es"/>
        </w:rPr>
        <w:t>Sihem</w:t>
      </w:r>
      <w:proofErr w:type="spellEnd"/>
      <w:r>
        <w:rPr>
          <w:rFonts w:asciiTheme="minorBidi" w:hAnsiTheme="minorBidi" w:cstheme="minorBidi"/>
          <w:szCs w:val="20"/>
          <w:lang w:val="es"/>
        </w:rPr>
        <w:t xml:space="preserve"> </w:t>
      </w:r>
      <w:proofErr w:type="spellStart"/>
      <w:r>
        <w:rPr>
          <w:rFonts w:asciiTheme="minorBidi" w:hAnsiTheme="minorBidi" w:cstheme="minorBidi"/>
          <w:szCs w:val="20"/>
          <w:lang w:val="es"/>
        </w:rPr>
        <w:t>Bensedrine</w:t>
      </w:r>
      <w:proofErr w:type="spellEnd"/>
      <w:r>
        <w:rPr>
          <w:rFonts w:asciiTheme="minorBidi" w:hAnsiTheme="minorBidi" w:cstheme="minorBidi"/>
          <w:szCs w:val="20"/>
          <w:lang w:val="es"/>
        </w:rPr>
        <w:t xml:space="preserve"> por “aprovecharse de su posición para obtener ventajas indebidas” y causar daños a la administración para lograr un beneficio mediante la falsificación y el uso de documentos falsificados. El 2 de marzo de 2023, el juez de instrucción cambió la condición de </w:t>
      </w:r>
      <w:proofErr w:type="spellStart"/>
      <w:r>
        <w:rPr>
          <w:rFonts w:asciiTheme="minorBidi" w:hAnsiTheme="minorBidi" w:cstheme="minorBidi"/>
          <w:szCs w:val="20"/>
          <w:lang w:val="es"/>
        </w:rPr>
        <w:t>Sihem</w:t>
      </w:r>
      <w:proofErr w:type="spellEnd"/>
      <w:r>
        <w:rPr>
          <w:rFonts w:asciiTheme="minorBidi" w:hAnsiTheme="minorBidi" w:cstheme="minorBidi"/>
          <w:szCs w:val="20"/>
          <w:lang w:val="es"/>
        </w:rPr>
        <w:t xml:space="preserve"> </w:t>
      </w:r>
      <w:proofErr w:type="spellStart"/>
      <w:r>
        <w:rPr>
          <w:rFonts w:asciiTheme="minorBidi" w:hAnsiTheme="minorBidi" w:cstheme="minorBidi"/>
          <w:szCs w:val="20"/>
          <w:lang w:val="es"/>
        </w:rPr>
        <w:t>Bensedrine</w:t>
      </w:r>
      <w:proofErr w:type="spellEnd"/>
      <w:r>
        <w:rPr>
          <w:rFonts w:asciiTheme="minorBidi" w:hAnsiTheme="minorBidi" w:cstheme="minorBidi"/>
          <w:szCs w:val="20"/>
          <w:lang w:val="es"/>
        </w:rPr>
        <w:t xml:space="preserve"> en la investigación de testigo a sospechosa. El 7 de marzo de 2023, el juez impuso a </w:t>
      </w:r>
      <w:proofErr w:type="spellStart"/>
      <w:r>
        <w:rPr>
          <w:rFonts w:asciiTheme="minorBidi" w:hAnsiTheme="minorBidi" w:cstheme="minorBidi"/>
          <w:szCs w:val="20"/>
          <w:lang w:val="es"/>
        </w:rPr>
        <w:t>Sihem</w:t>
      </w:r>
      <w:proofErr w:type="spellEnd"/>
      <w:r>
        <w:rPr>
          <w:rFonts w:asciiTheme="minorBidi" w:hAnsiTheme="minorBidi" w:cstheme="minorBidi"/>
          <w:szCs w:val="20"/>
          <w:lang w:val="es"/>
        </w:rPr>
        <w:t xml:space="preserve"> </w:t>
      </w:r>
      <w:proofErr w:type="spellStart"/>
      <w:r>
        <w:rPr>
          <w:rFonts w:asciiTheme="minorBidi" w:hAnsiTheme="minorBidi" w:cstheme="minorBidi"/>
          <w:szCs w:val="20"/>
          <w:lang w:val="es"/>
        </w:rPr>
        <w:t>Bensedrine</w:t>
      </w:r>
      <w:proofErr w:type="spellEnd"/>
      <w:r>
        <w:rPr>
          <w:rFonts w:asciiTheme="minorBidi" w:hAnsiTheme="minorBidi" w:cstheme="minorBidi"/>
          <w:szCs w:val="20"/>
          <w:lang w:val="es"/>
        </w:rPr>
        <w:t xml:space="preserve"> la prohibición de viajar. El 1 de agosto de 2024, después de una audiencia, un juez de instrucción del Polo Judicial Económico y Financiero del Tribunal de Primera Instancia de Túnez ordenó la detención en espera de juicio de </w:t>
      </w:r>
      <w:proofErr w:type="spellStart"/>
      <w:r>
        <w:rPr>
          <w:rFonts w:asciiTheme="minorBidi" w:hAnsiTheme="minorBidi" w:cstheme="minorBidi"/>
          <w:szCs w:val="20"/>
          <w:lang w:val="es"/>
        </w:rPr>
        <w:t>Sihem</w:t>
      </w:r>
      <w:proofErr w:type="spellEnd"/>
      <w:r>
        <w:rPr>
          <w:rFonts w:asciiTheme="minorBidi" w:hAnsiTheme="minorBidi" w:cstheme="minorBidi"/>
          <w:szCs w:val="20"/>
          <w:lang w:val="es"/>
        </w:rPr>
        <w:t xml:space="preserve"> </w:t>
      </w:r>
      <w:proofErr w:type="spellStart"/>
      <w:r>
        <w:rPr>
          <w:rFonts w:asciiTheme="minorBidi" w:hAnsiTheme="minorBidi" w:cstheme="minorBidi"/>
          <w:szCs w:val="20"/>
          <w:lang w:val="es"/>
        </w:rPr>
        <w:t>Bensedrine</w:t>
      </w:r>
      <w:proofErr w:type="spellEnd"/>
      <w:r>
        <w:rPr>
          <w:rFonts w:asciiTheme="minorBidi" w:hAnsiTheme="minorBidi" w:cstheme="minorBidi"/>
          <w:szCs w:val="20"/>
          <w:lang w:val="es"/>
        </w:rPr>
        <w:t xml:space="preserve"> por los mismos cargos. Los cargos penales contra </w:t>
      </w:r>
      <w:proofErr w:type="spellStart"/>
      <w:r>
        <w:rPr>
          <w:rFonts w:asciiTheme="minorBidi" w:hAnsiTheme="minorBidi" w:cstheme="minorBidi"/>
          <w:szCs w:val="20"/>
          <w:lang w:val="es"/>
        </w:rPr>
        <w:t>Sihem</w:t>
      </w:r>
      <w:proofErr w:type="spellEnd"/>
      <w:r>
        <w:rPr>
          <w:rFonts w:asciiTheme="minorBidi" w:hAnsiTheme="minorBidi" w:cstheme="minorBidi"/>
          <w:szCs w:val="20"/>
          <w:lang w:val="es"/>
        </w:rPr>
        <w:t xml:space="preserve"> </w:t>
      </w:r>
      <w:proofErr w:type="spellStart"/>
      <w:r>
        <w:rPr>
          <w:rFonts w:asciiTheme="minorBidi" w:hAnsiTheme="minorBidi" w:cstheme="minorBidi"/>
          <w:szCs w:val="20"/>
          <w:lang w:val="es"/>
        </w:rPr>
        <w:t>Bensedrine</w:t>
      </w:r>
      <w:proofErr w:type="spellEnd"/>
      <w:r>
        <w:rPr>
          <w:rFonts w:asciiTheme="minorBidi" w:hAnsiTheme="minorBidi" w:cstheme="minorBidi"/>
          <w:szCs w:val="20"/>
          <w:lang w:val="es"/>
        </w:rPr>
        <w:t xml:space="preserve">, que ella niega, se basan en las afirmaciones de la </w:t>
      </w:r>
      <w:proofErr w:type="spellStart"/>
      <w:r>
        <w:rPr>
          <w:rFonts w:asciiTheme="minorBidi" w:hAnsiTheme="minorBidi" w:cstheme="minorBidi"/>
          <w:szCs w:val="20"/>
          <w:lang w:val="es"/>
        </w:rPr>
        <w:t>excomisionada</w:t>
      </w:r>
      <w:proofErr w:type="spellEnd"/>
      <w:r>
        <w:rPr>
          <w:rFonts w:asciiTheme="minorBidi" w:hAnsiTheme="minorBidi" w:cstheme="minorBidi"/>
          <w:szCs w:val="20"/>
          <w:lang w:val="es"/>
        </w:rPr>
        <w:t xml:space="preserve"> que había presentado la denuncia. La fiscalía no presentó ninguna prueba concreta que justificara la orden de prisión previa al juicio ni la investigación penal. </w:t>
      </w:r>
    </w:p>
    <w:p w14:paraId="04CF0DA7" w14:textId="33E2EF4C" w:rsidR="00D23D90" w:rsidRPr="00416646" w:rsidRDefault="00B4779A" w:rsidP="00693EC2">
      <w:pPr>
        <w:spacing w:line="240" w:lineRule="auto"/>
        <w:jc w:val="both"/>
        <w:rPr>
          <w:rFonts w:asciiTheme="minorBidi" w:hAnsiTheme="minorBidi" w:cstheme="minorBidi"/>
          <w:szCs w:val="20"/>
          <w:lang w:val="es-ES"/>
        </w:rPr>
      </w:pPr>
      <w:r>
        <w:rPr>
          <w:rFonts w:asciiTheme="minorBidi" w:hAnsiTheme="minorBidi" w:cstheme="minorBidi"/>
          <w:szCs w:val="20"/>
          <w:lang w:val="es"/>
        </w:rPr>
        <w:t xml:space="preserve">Dado que hasta el momento la fiscalía no ha proporcionado pruebas concretas de ningún acto delictivo que pudiera estar relacionado con los cambios introducidos en el informe de la IVD, los cargos penales contra la señora </w:t>
      </w:r>
      <w:proofErr w:type="spellStart"/>
      <w:r>
        <w:rPr>
          <w:rFonts w:asciiTheme="minorBidi" w:hAnsiTheme="minorBidi" w:cstheme="minorBidi"/>
          <w:szCs w:val="20"/>
          <w:lang w:val="es"/>
        </w:rPr>
        <w:t>Sihem</w:t>
      </w:r>
      <w:proofErr w:type="spellEnd"/>
      <w:r>
        <w:rPr>
          <w:rFonts w:asciiTheme="minorBidi" w:hAnsiTheme="minorBidi" w:cstheme="minorBidi"/>
          <w:szCs w:val="20"/>
          <w:lang w:val="es"/>
        </w:rPr>
        <w:t xml:space="preserve"> </w:t>
      </w:r>
      <w:proofErr w:type="spellStart"/>
      <w:r>
        <w:rPr>
          <w:rFonts w:asciiTheme="minorBidi" w:hAnsiTheme="minorBidi" w:cstheme="minorBidi"/>
          <w:szCs w:val="20"/>
          <w:lang w:val="es"/>
        </w:rPr>
        <w:t>Bensedrine</w:t>
      </w:r>
      <w:proofErr w:type="spellEnd"/>
      <w:r>
        <w:rPr>
          <w:rFonts w:asciiTheme="minorBidi" w:hAnsiTheme="minorBidi" w:cstheme="minorBidi"/>
          <w:szCs w:val="20"/>
          <w:lang w:val="es"/>
        </w:rPr>
        <w:t xml:space="preserve"> parecen ser una forma de represalia por el trabajo que realizó como presidenta de la IVD y, más concretamente, por las opiniones o hechos contenidos en el informe final de la IVD y los procesamientos propuestos por la IVD contra los presuntos autores. En mayo de 2023, especialistas en derechos humanos de la ONU expresaron </w:t>
      </w:r>
      <w:hyperlink r:id="rId14" w:history="1">
        <w:r>
          <w:rPr>
            <w:rStyle w:val="Hipervnculo"/>
            <w:rFonts w:asciiTheme="minorBidi" w:hAnsiTheme="minorBidi" w:cstheme="minorBidi"/>
            <w:szCs w:val="20"/>
            <w:lang w:val="es"/>
          </w:rPr>
          <w:t>preocupación</w:t>
        </w:r>
      </w:hyperlink>
      <w:r>
        <w:rPr>
          <w:rFonts w:asciiTheme="minorBidi" w:hAnsiTheme="minorBidi" w:cstheme="minorBidi"/>
          <w:szCs w:val="20"/>
          <w:lang w:val="es"/>
        </w:rPr>
        <w:t xml:space="preserve"> por que el enjuiciamiento de </w:t>
      </w:r>
      <w:proofErr w:type="spellStart"/>
      <w:r>
        <w:rPr>
          <w:rFonts w:asciiTheme="minorBidi" w:hAnsiTheme="minorBidi" w:cstheme="minorBidi"/>
          <w:szCs w:val="20"/>
          <w:lang w:val="es"/>
        </w:rPr>
        <w:t>Sihem</w:t>
      </w:r>
      <w:proofErr w:type="spellEnd"/>
      <w:r>
        <w:rPr>
          <w:rFonts w:asciiTheme="minorBidi" w:hAnsiTheme="minorBidi" w:cstheme="minorBidi"/>
          <w:szCs w:val="20"/>
          <w:lang w:val="es"/>
        </w:rPr>
        <w:t xml:space="preserve"> </w:t>
      </w:r>
      <w:proofErr w:type="spellStart"/>
      <w:r>
        <w:rPr>
          <w:rFonts w:asciiTheme="minorBidi" w:hAnsiTheme="minorBidi" w:cstheme="minorBidi"/>
          <w:szCs w:val="20"/>
          <w:lang w:val="es"/>
        </w:rPr>
        <w:t>Bensedrine</w:t>
      </w:r>
      <w:proofErr w:type="spellEnd"/>
      <w:r>
        <w:rPr>
          <w:rFonts w:asciiTheme="minorBidi" w:hAnsiTheme="minorBidi" w:cstheme="minorBidi"/>
          <w:szCs w:val="20"/>
          <w:lang w:val="es"/>
        </w:rPr>
        <w:t xml:space="preserve"> parecía una represalia vinculada a su papel en la IVD y a los casos de corrupción. Las normas internacionales obligan a los Estados a garantizar el derecho a la verdad sobre las violaciones graves de los derechos humanos, a través de medios no judiciales, como las comisiones de la verdad, y a proteger a los</w:t>
      </w:r>
      <w:r w:rsidR="00342831">
        <w:rPr>
          <w:rFonts w:asciiTheme="minorBidi" w:hAnsiTheme="minorBidi" w:cstheme="minorBidi"/>
          <w:szCs w:val="20"/>
          <w:lang w:val="es"/>
        </w:rPr>
        <w:t xml:space="preserve"> y las </w:t>
      </w:r>
      <w:r>
        <w:rPr>
          <w:rFonts w:asciiTheme="minorBidi" w:hAnsiTheme="minorBidi" w:cstheme="minorBidi"/>
          <w:szCs w:val="20"/>
          <w:lang w:val="es"/>
        </w:rPr>
        <w:t>miembros de la IVD de la difamación o las acciones jurídicas relacionadas con su trabajo.</w:t>
      </w:r>
    </w:p>
    <w:p w14:paraId="164B7518" w14:textId="59E6184B" w:rsidR="005D2C37" w:rsidRPr="00416646" w:rsidRDefault="005D2C37" w:rsidP="00980425">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PUEDEN ESCRIBIR LLAMAMIENTOS EN: </w:t>
      </w:r>
      <w:r>
        <w:rPr>
          <w:rFonts w:asciiTheme="minorBidi" w:hAnsiTheme="minorBidi" w:cstheme="minorBidi"/>
          <w:sz w:val="20"/>
          <w:szCs w:val="20"/>
          <w:lang w:val="es"/>
        </w:rPr>
        <w:t>árabe, francés o inglés.</w:t>
      </w:r>
    </w:p>
    <w:p w14:paraId="67D7E0C0" w14:textId="77777777" w:rsidR="005D2C37" w:rsidRPr="00416646" w:rsidRDefault="005D2C37" w:rsidP="00980425">
      <w:pPr>
        <w:spacing w:after="0" w:line="240" w:lineRule="auto"/>
        <w:rPr>
          <w:rFonts w:asciiTheme="minorBidi" w:hAnsiTheme="minorBidi" w:cstheme="minorBidi"/>
          <w:color w:val="0070C0"/>
          <w:sz w:val="20"/>
          <w:szCs w:val="20"/>
          <w:lang w:val="es-ES"/>
        </w:rPr>
      </w:pPr>
      <w:r>
        <w:rPr>
          <w:rFonts w:asciiTheme="minorBidi" w:hAnsiTheme="minorBidi" w:cstheme="minorBidi"/>
          <w:sz w:val="20"/>
          <w:szCs w:val="20"/>
          <w:lang w:val="es"/>
        </w:rPr>
        <w:t>También pueden escribir en su propio idioma.</w:t>
      </w:r>
    </w:p>
    <w:p w14:paraId="5FD60715" w14:textId="77777777" w:rsidR="005D2C37" w:rsidRPr="00416646" w:rsidRDefault="005D2C37" w:rsidP="00980425">
      <w:pPr>
        <w:spacing w:after="0" w:line="240" w:lineRule="auto"/>
        <w:rPr>
          <w:rFonts w:asciiTheme="minorBidi" w:hAnsiTheme="minorBidi" w:cstheme="minorBidi"/>
          <w:color w:val="0070C0"/>
          <w:sz w:val="20"/>
          <w:szCs w:val="20"/>
          <w:lang w:val="es-ES"/>
        </w:rPr>
      </w:pPr>
    </w:p>
    <w:p w14:paraId="30DA8899" w14:textId="0EF5F96B" w:rsidR="005D2C37" w:rsidRPr="00416646"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ENVÍEN LLAMAMIENTOS LO ANTES POSIBLE Y NO MÁS TARDE DEL: </w:t>
      </w:r>
      <w:r>
        <w:rPr>
          <w:rFonts w:asciiTheme="minorBidi" w:hAnsiTheme="minorBidi" w:cstheme="minorBidi"/>
          <w:sz w:val="20"/>
          <w:szCs w:val="20"/>
          <w:lang w:val="es"/>
        </w:rPr>
        <w:t>28 de junio de 2025.</w:t>
      </w:r>
    </w:p>
    <w:p w14:paraId="4AB71280" w14:textId="77777777" w:rsidR="005D2C37" w:rsidRPr="00416646"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en su país si desean enviar llamamientos después de la fecha indicada.</w:t>
      </w:r>
    </w:p>
    <w:p w14:paraId="6C4D85D3" w14:textId="77777777" w:rsidR="005D2C37" w:rsidRPr="00416646" w:rsidRDefault="005D2C37" w:rsidP="00980425">
      <w:pPr>
        <w:spacing w:after="0" w:line="240" w:lineRule="auto"/>
        <w:rPr>
          <w:rFonts w:asciiTheme="minorBidi" w:hAnsiTheme="minorBidi" w:cstheme="minorBidi"/>
          <w:b/>
          <w:sz w:val="20"/>
          <w:szCs w:val="20"/>
          <w:lang w:val="es-ES"/>
        </w:rPr>
      </w:pPr>
    </w:p>
    <w:p w14:paraId="7513DADF" w14:textId="0ECAA3AE" w:rsidR="005D2C37" w:rsidRPr="00AB7EB4" w:rsidRDefault="005D2C37" w:rsidP="00980425">
      <w:pPr>
        <w:spacing w:after="0" w:line="240" w:lineRule="auto"/>
        <w:rPr>
          <w:rFonts w:asciiTheme="minorBidi" w:hAnsiTheme="minorBidi" w:cstheme="minorBidi"/>
          <w:b/>
          <w:sz w:val="20"/>
          <w:szCs w:val="20"/>
          <w:lang w:val="pt-BR"/>
        </w:rPr>
      </w:pPr>
      <w:r w:rsidRPr="00AB7EB4">
        <w:rPr>
          <w:rFonts w:asciiTheme="minorBidi" w:hAnsiTheme="minorBidi" w:cstheme="minorBidi"/>
          <w:b/>
          <w:bCs/>
          <w:sz w:val="20"/>
          <w:szCs w:val="20"/>
          <w:lang w:val="pt-BR"/>
        </w:rPr>
        <w:t xml:space="preserve">NOMBRE Y GÉNERO GRAMATICAL PREFERIDO: </w:t>
      </w:r>
      <w:proofErr w:type="spellStart"/>
      <w:r w:rsidRPr="00AB7EB4">
        <w:rPr>
          <w:rFonts w:asciiTheme="minorBidi" w:hAnsiTheme="minorBidi" w:cstheme="minorBidi"/>
          <w:b/>
          <w:bCs/>
          <w:sz w:val="20"/>
          <w:szCs w:val="20"/>
          <w:lang w:val="pt-BR"/>
        </w:rPr>
        <w:t>Sihem</w:t>
      </w:r>
      <w:proofErr w:type="spellEnd"/>
      <w:r w:rsidRPr="00AB7EB4">
        <w:rPr>
          <w:rFonts w:asciiTheme="minorBidi" w:hAnsiTheme="minorBidi" w:cstheme="minorBidi"/>
          <w:b/>
          <w:bCs/>
          <w:sz w:val="20"/>
          <w:szCs w:val="20"/>
          <w:lang w:val="pt-BR"/>
        </w:rPr>
        <w:t xml:space="preserve"> </w:t>
      </w:r>
      <w:proofErr w:type="spellStart"/>
      <w:r w:rsidRPr="00AB7EB4">
        <w:rPr>
          <w:rFonts w:asciiTheme="minorBidi" w:hAnsiTheme="minorBidi" w:cstheme="minorBidi"/>
          <w:b/>
          <w:bCs/>
          <w:sz w:val="20"/>
          <w:szCs w:val="20"/>
          <w:lang w:val="pt-BR"/>
        </w:rPr>
        <w:t>Bensedrine</w:t>
      </w:r>
      <w:proofErr w:type="spellEnd"/>
      <w:r w:rsidRPr="00AB7EB4">
        <w:rPr>
          <w:rFonts w:asciiTheme="minorBidi" w:hAnsiTheme="minorBidi" w:cstheme="minorBidi"/>
          <w:b/>
          <w:bCs/>
          <w:sz w:val="20"/>
          <w:szCs w:val="20"/>
          <w:lang w:val="pt-BR"/>
        </w:rPr>
        <w:t xml:space="preserve"> </w:t>
      </w:r>
      <w:r w:rsidRPr="00AB7EB4">
        <w:rPr>
          <w:rFonts w:asciiTheme="minorBidi" w:hAnsiTheme="minorBidi" w:cstheme="minorBidi"/>
          <w:sz w:val="20"/>
          <w:szCs w:val="20"/>
          <w:lang w:val="pt-BR"/>
        </w:rPr>
        <w:t>(</w:t>
      </w:r>
      <w:proofErr w:type="spellStart"/>
      <w:r w:rsidRPr="00AB7EB4">
        <w:rPr>
          <w:rFonts w:asciiTheme="minorBidi" w:hAnsiTheme="minorBidi" w:cstheme="minorBidi"/>
          <w:sz w:val="20"/>
          <w:szCs w:val="20"/>
          <w:lang w:val="pt-BR"/>
        </w:rPr>
        <w:t>femenino</w:t>
      </w:r>
      <w:proofErr w:type="spellEnd"/>
      <w:r w:rsidRPr="00AB7EB4">
        <w:rPr>
          <w:rFonts w:asciiTheme="minorBidi" w:hAnsiTheme="minorBidi" w:cstheme="minorBidi"/>
          <w:sz w:val="20"/>
          <w:szCs w:val="20"/>
          <w:lang w:val="pt-BR"/>
        </w:rPr>
        <w:t>).</w:t>
      </w:r>
    </w:p>
    <w:p w14:paraId="15C09A85" w14:textId="77777777" w:rsidR="005D2C37" w:rsidRPr="00AB7EB4" w:rsidRDefault="005D2C37" w:rsidP="00980425">
      <w:pPr>
        <w:spacing w:after="0" w:line="240" w:lineRule="auto"/>
        <w:rPr>
          <w:rFonts w:asciiTheme="minorBidi" w:hAnsiTheme="minorBidi" w:cstheme="minorBidi"/>
          <w:b/>
          <w:sz w:val="20"/>
          <w:szCs w:val="20"/>
          <w:lang w:val="pt-BR"/>
        </w:rPr>
      </w:pPr>
    </w:p>
    <w:p w14:paraId="5DA36844" w14:textId="2D9F2E19" w:rsidR="00846E45" w:rsidRPr="00693EC2" w:rsidRDefault="005D2C37" w:rsidP="00693EC2">
      <w:pPr>
        <w:spacing w:after="0" w:line="240" w:lineRule="auto"/>
        <w:rPr>
          <w:rFonts w:asciiTheme="minorBidi" w:hAnsiTheme="minorBidi" w:cstheme="minorBidi"/>
          <w:sz w:val="20"/>
          <w:szCs w:val="20"/>
        </w:rPr>
      </w:pPr>
      <w:r>
        <w:rPr>
          <w:rFonts w:asciiTheme="minorBidi" w:hAnsiTheme="minorBidi" w:cstheme="minorBidi"/>
          <w:b/>
          <w:bCs/>
          <w:sz w:val="20"/>
          <w:szCs w:val="20"/>
          <w:lang w:val="es"/>
        </w:rPr>
        <w:t xml:space="preserve">ENLACE A LA AU ANTERIOR: </w:t>
      </w:r>
      <w:hyperlink r:id="rId15" w:history="1">
        <w:r>
          <w:rPr>
            <w:rStyle w:val="Hipervnculo"/>
            <w:rFonts w:asciiTheme="minorBidi" w:hAnsiTheme="minorBidi" w:cstheme="minorBidi"/>
            <w:sz w:val="20"/>
            <w:szCs w:val="20"/>
            <w:lang w:val="es"/>
          </w:rPr>
          <w:t>https://www.amnesty.org/es/documents/mde30/8456/2024/es/</w:t>
        </w:r>
      </w:hyperlink>
    </w:p>
    <w:sectPr w:rsidR="00846E45" w:rsidRPr="00693EC2" w:rsidSect="00AB7EB4">
      <w:headerReference w:type="default" r:id="rId16"/>
      <w:headerReference w:type="first" r:id="rId17"/>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395D6" w14:textId="77777777" w:rsidR="00E0681F" w:rsidRDefault="00E0681F">
      <w:r>
        <w:separator/>
      </w:r>
    </w:p>
  </w:endnote>
  <w:endnote w:type="continuationSeparator" w:id="0">
    <w:p w14:paraId="0B94214E" w14:textId="77777777" w:rsidR="00E0681F" w:rsidRDefault="00E0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CB52C" w14:textId="77777777" w:rsidR="00E0681F" w:rsidRDefault="00E0681F">
      <w:r>
        <w:separator/>
      </w:r>
    </w:p>
  </w:footnote>
  <w:footnote w:type="continuationSeparator" w:id="0">
    <w:p w14:paraId="22C05917" w14:textId="77777777" w:rsidR="00E0681F" w:rsidRDefault="00E06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DB852" w14:textId="58B476F6" w:rsidR="00355617" w:rsidRPr="00416646" w:rsidRDefault="00834E00" w:rsidP="00F164D2">
    <w:pPr>
      <w:tabs>
        <w:tab w:val="left" w:pos="6060"/>
        <w:tab w:val="right" w:pos="10203"/>
      </w:tabs>
      <w:spacing w:after="0"/>
      <w:rPr>
        <w:sz w:val="16"/>
        <w:szCs w:val="16"/>
        <w:lang w:val="es-ES"/>
      </w:rPr>
    </w:pPr>
    <w:r>
      <w:rPr>
        <w:sz w:val="16"/>
        <w:szCs w:val="16"/>
        <w:lang w:val="es"/>
      </w:rPr>
      <w:t>Segunda AU: 76/24 Índice: MDE 30/8982/2025 Túnez</w:t>
    </w:r>
    <w:r>
      <w:rPr>
        <w:sz w:val="16"/>
        <w:szCs w:val="16"/>
        <w:lang w:val="es"/>
      </w:rPr>
      <w:tab/>
    </w:r>
    <w:r>
      <w:rPr>
        <w:sz w:val="16"/>
        <w:szCs w:val="16"/>
        <w:lang w:val="es"/>
      </w:rPr>
      <w:tab/>
      <w:t>Fecha: 28 de enero de 2025</w:t>
    </w:r>
  </w:p>
  <w:p w14:paraId="5C04E423" w14:textId="77777777" w:rsidR="007A3AEA" w:rsidRPr="00416646"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84E9A" w14:textId="77777777" w:rsidR="00E45B15" w:rsidRDefault="00E45B15" w:rsidP="00D35879">
    <w:pPr>
      <w:pStyle w:val="Encabezado"/>
    </w:pPr>
  </w:p>
  <w:p w14:paraId="2E9C261D"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25pt;height:5.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900582">
    <w:abstractNumId w:val="0"/>
  </w:num>
  <w:num w:numId="2" w16cid:durableId="1140197849">
    <w:abstractNumId w:val="20"/>
  </w:num>
  <w:num w:numId="3" w16cid:durableId="890844217">
    <w:abstractNumId w:val="19"/>
  </w:num>
  <w:num w:numId="4" w16cid:durableId="707493852">
    <w:abstractNumId w:val="9"/>
  </w:num>
  <w:num w:numId="5" w16cid:durableId="1507013476">
    <w:abstractNumId w:val="3"/>
  </w:num>
  <w:num w:numId="6" w16cid:durableId="1991014915">
    <w:abstractNumId w:val="18"/>
  </w:num>
  <w:num w:numId="7" w16cid:durableId="94207252">
    <w:abstractNumId w:val="16"/>
  </w:num>
  <w:num w:numId="8" w16cid:durableId="1153716923">
    <w:abstractNumId w:val="8"/>
  </w:num>
  <w:num w:numId="9" w16cid:durableId="396975786">
    <w:abstractNumId w:val="7"/>
  </w:num>
  <w:num w:numId="10" w16cid:durableId="1936087483">
    <w:abstractNumId w:val="12"/>
  </w:num>
  <w:num w:numId="11" w16cid:durableId="1685283869">
    <w:abstractNumId w:val="5"/>
  </w:num>
  <w:num w:numId="12" w16cid:durableId="1036393700">
    <w:abstractNumId w:val="13"/>
  </w:num>
  <w:num w:numId="13" w16cid:durableId="390543078">
    <w:abstractNumId w:val="14"/>
  </w:num>
  <w:num w:numId="14" w16cid:durableId="694042381">
    <w:abstractNumId w:val="1"/>
  </w:num>
  <w:num w:numId="15" w16cid:durableId="739670597">
    <w:abstractNumId w:val="17"/>
  </w:num>
  <w:num w:numId="16" w16cid:durableId="377356786">
    <w:abstractNumId w:val="10"/>
  </w:num>
  <w:num w:numId="17" w16cid:durableId="788818041">
    <w:abstractNumId w:val="11"/>
  </w:num>
  <w:num w:numId="18" w16cid:durableId="456607511">
    <w:abstractNumId w:val="4"/>
  </w:num>
  <w:num w:numId="19" w16cid:durableId="847716018">
    <w:abstractNumId w:val="6"/>
  </w:num>
  <w:num w:numId="20" w16cid:durableId="1269581089">
    <w:abstractNumId w:val="15"/>
  </w:num>
  <w:num w:numId="21" w16cid:durableId="1356612768">
    <w:abstractNumId w:val="2"/>
  </w:num>
  <w:num w:numId="22" w16cid:durableId="157030949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AB1"/>
    <w:rsid w:val="00001383"/>
    <w:rsid w:val="00004D79"/>
    <w:rsid w:val="000058B2"/>
    <w:rsid w:val="00006629"/>
    <w:rsid w:val="0002386F"/>
    <w:rsid w:val="00027ABD"/>
    <w:rsid w:val="0003216C"/>
    <w:rsid w:val="00046B8C"/>
    <w:rsid w:val="00047B76"/>
    <w:rsid w:val="00057A7E"/>
    <w:rsid w:val="00072301"/>
    <w:rsid w:val="00076037"/>
    <w:rsid w:val="00077EF5"/>
    <w:rsid w:val="00083462"/>
    <w:rsid w:val="00084C4D"/>
    <w:rsid w:val="00087E2B"/>
    <w:rsid w:val="0009130D"/>
    <w:rsid w:val="00092DFA"/>
    <w:rsid w:val="000957C5"/>
    <w:rsid w:val="000A1F14"/>
    <w:rsid w:val="000B02B4"/>
    <w:rsid w:val="000B4A38"/>
    <w:rsid w:val="000C0B5A"/>
    <w:rsid w:val="000C2A0D"/>
    <w:rsid w:val="000C45F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1E2562"/>
    <w:rsid w:val="00201189"/>
    <w:rsid w:val="00201D51"/>
    <w:rsid w:val="002036C0"/>
    <w:rsid w:val="00210D15"/>
    <w:rsid w:val="00215C3E"/>
    <w:rsid w:val="00215E33"/>
    <w:rsid w:val="00215EA8"/>
    <w:rsid w:val="0021606C"/>
    <w:rsid w:val="0022403C"/>
    <w:rsid w:val="00225A11"/>
    <w:rsid w:val="002558D7"/>
    <w:rsid w:val="0025792F"/>
    <w:rsid w:val="00261378"/>
    <w:rsid w:val="00261CC7"/>
    <w:rsid w:val="002665C3"/>
    <w:rsid w:val="00266B5C"/>
    <w:rsid w:val="00267383"/>
    <w:rsid w:val="002703E7"/>
    <w:rsid w:val="002709C3"/>
    <w:rsid w:val="002739C9"/>
    <w:rsid w:val="00273E9A"/>
    <w:rsid w:val="00291197"/>
    <w:rsid w:val="002970F2"/>
    <w:rsid w:val="002A1BCA"/>
    <w:rsid w:val="002A2F36"/>
    <w:rsid w:val="002B2DE7"/>
    <w:rsid w:val="002B2E9B"/>
    <w:rsid w:val="002C06A6"/>
    <w:rsid w:val="002C5FE4"/>
    <w:rsid w:val="002C7F1F"/>
    <w:rsid w:val="002D48CD"/>
    <w:rsid w:val="002D5454"/>
    <w:rsid w:val="002E3658"/>
    <w:rsid w:val="002F3C80"/>
    <w:rsid w:val="0031230A"/>
    <w:rsid w:val="00313E8B"/>
    <w:rsid w:val="00320461"/>
    <w:rsid w:val="003225D4"/>
    <w:rsid w:val="0033124E"/>
    <w:rsid w:val="0033624A"/>
    <w:rsid w:val="003373A5"/>
    <w:rsid w:val="00337826"/>
    <w:rsid w:val="0034128A"/>
    <w:rsid w:val="00342831"/>
    <w:rsid w:val="0034324D"/>
    <w:rsid w:val="0035329F"/>
    <w:rsid w:val="00355617"/>
    <w:rsid w:val="00372072"/>
    <w:rsid w:val="00376EF4"/>
    <w:rsid w:val="00384B4C"/>
    <w:rsid w:val="003904F0"/>
    <w:rsid w:val="0039732A"/>
    <w:rsid w:val="003975C9"/>
    <w:rsid w:val="00397DF0"/>
    <w:rsid w:val="003B294A"/>
    <w:rsid w:val="003B5483"/>
    <w:rsid w:val="003C3210"/>
    <w:rsid w:val="003C3AD3"/>
    <w:rsid w:val="003C5EEA"/>
    <w:rsid w:val="003C7CB6"/>
    <w:rsid w:val="003F3D5D"/>
    <w:rsid w:val="00416646"/>
    <w:rsid w:val="0042210F"/>
    <w:rsid w:val="004334BF"/>
    <w:rsid w:val="004338B2"/>
    <w:rsid w:val="004408A1"/>
    <w:rsid w:val="00442E5B"/>
    <w:rsid w:val="0044379B"/>
    <w:rsid w:val="00445452"/>
    <w:rsid w:val="00445D50"/>
    <w:rsid w:val="00453538"/>
    <w:rsid w:val="004603A2"/>
    <w:rsid w:val="00476CA4"/>
    <w:rsid w:val="00477194"/>
    <w:rsid w:val="00481C72"/>
    <w:rsid w:val="00486088"/>
    <w:rsid w:val="00492FA8"/>
    <w:rsid w:val="004A1BDD"/>
    <w:rsid w:val="004A3B49"/>
    <w:rsid w:val="004A6543"/>
    <w:rsid w:val="004B1E15"/>
    <w:rsid w:val="004B2367"/>
    <w:rsid w:val="004B381D"/>
    <w:rsid w:val="004C265C"/>
    <w:rsid w:val="004C71F5"/>
    <w:rsid w:val="004D3E3E"/>
    <w:rsid w:val="004D41DC"/>
    <w:rsid w:val="00504FBC"/>
    <w:rsid w:val="00517E88"/>
    <w:rsid w:val="00520AF5"/>
    <w:rsid w:val="00535B06"/>
    <w:rsid w:val="005363CA"/>
    <w:rsid w:val="00542F58"/>
    <w:rsid w:val="00545423"/>
    <w:rsid w:val="00547E71"/>
    <w:rsid w:val="00565462"/>
    <w:rsid w:val="005668D0"/>
    <w:rsid w:val="00572CCD"/>
    <w:rsid w:val="0057440A"/>
    <w:rsid w:val="00581A12"/>
    <w:rsid w:val="00582543"/>
    <w:rsid w:val="005846CB"/>
    <w:rsid w:val="00592C3E"/>
    <w:rsid w:val="00596449"/>
    <w:rsid w:val="005A3E28"/>
    <w:rsid w:val="005A71AD"/>
    <w:rsid w:val="005A7F1B"/>
    <w:rsid w:val="005B227F"/>
    <w:rsid w:val="005B59ED"/>
    <w:rsid w:val="005B5C5A"/>
    <w:rsid w:val="005C751F"/>
    <w:rsid w:val="005D013C"/>
    <w:rsid w:val="005D14AA"/>
    <w:rsid w:val="005D25B0"/>
    <w:rsid w:val="005D2C37"/>
    <w:rsid w:val="005D7287"/>
    <w:rsid w:val="005D7D1C"/>
    <w:rsid w:val="005E1751"/>
    <w:rsid w:val="005F0021"/>
    <w:rsid w:val="005F0355"/>
    <w:rsid w:val="005F5E43"/>
    <w:rsid w:val="00606108"/>
    <w:rsid w:val="006201FC"/>
    <w:rsid w:val="00620ADD"/>
    <w:rsid w:val="00620CBF"/>
    <w:rsid w:val="00627A67"/>
    <w:rsid w:val="00636259"/>
    <w:rsid w:val="00640EF2"/>
    <w:rsid w:val="0064285E"/>
    <w:rsid w:val="00642D59"/>
    <w:rsid w:val="0064718C"/>
    <w:rsid w:val="0065049B"/>
    <w:rsid w:val="00650D73"/>
    <w:rsid w:val="006558EE"/>
    <w:rsid w:val="00657231"/>
    <w:rsid w:val="00667FBC"/>
    <w:rsid w:val="00693EC2"/>
    <w:rsid w:val="0069571A"/>
    <w:rsid w:val="00697748"/>
    <w:rsid w:val="006A0BB9"/>
    <w:rsid w:val="006A3035"/>
    <w:rsid w:val="006B12FA"/>
    <w:rsid w:val="006B461E"/>
    <w:rsid w:val="006C3C21"/>
    <w:rsid w:val="006C7A31"/>
    <w:rsid w:val="006D46D9"/>
    <w:rsid w:val="006F4C28"/>
    <w:rsid w:val="00702E26"/>
    <w:rsid w:val="0070364E"/>
    <w:rsid w:val="007104E8"/>
    <w:rsid w:val="00712E66"/>
    <w:rsid w:val="007156FC"/>
    <w:rsid w:val="00716942"/>
    <w:rsid w:val="007173E9"/>
    <w:rsid w:val="00724A62"/>
    <w:rsid w:val="00727519"/>
    <w:rsid w:val="00727CA7"/>
    <w:rsid w:val="0073431C"/>
    <w:rsid w:val="007406DA"/>
    <w:rsid w:val="0074108D"/>
    <w:rsid w:val="007628CB"/>
    <w:rsid w:val="007656E7"/>
    <w:rsid w:val="007666A4"/>
    <w:rsid w:val="0077272B"/>
    <w:rsid w:val="00773365"/>
    <w:rsid w:val="00781624"/>
    <w:rsid w:val="00781E3C"/>
    <w:rsid w:val="007858BA"/>
    <w:rsid w:val="00785E98"/>
    <w:rsid w:val="00792EEE"/>
    <w:rsid w:val="007A2ABA"/>
    <w:rsid w:val="007A3AEA"/>
    <w:rsid w:val="007A7F97"/>
    <w:rsid w:val="007B0636"/>
    <w:rsid w:val="007B4F3E"/>
    <w:rsid w:val="007B7197"/>
    <w:rsid w:val="007C3852"/>
    <w:rsid w:val="007C6CD0"/>
    <w:rsid w:val="007D4EF7"/>
    <w:rsid w:val="007E00B8"/>
    <w:rsid w:val="007E53F7"/>
    <w:rsid w:val="007F72FF"/>
    <w:rsid w:val="007F7B5E"/>
    <w:rsid w:val="008056E9"/>
    <w:rsid w:val="0081049F"/>
    <w:rsid w:val="00814632"/>
    <w:rsid w:val="0082127B"/>
    <w:rsid w:val="00827A40"/>
    <w:rsid w:val="00834E00"/>
    <w:rsid w:val="00835906"/>
    <w:rsid w:val="00843917"/>
    <w:rsid w:val="008442BC"/>
    <w:rsid w:val="00844F48"/>
    <w:rsid w:val="008455C2"/>
    <w:rsid w:val="00846E45"/>
    <w:rsid w:val="00864035"/>
    <w:rsid w:val="00866873"/>
    <w:rsid w:val="008763F4"/>
    <w:rsid w:val="00882AB1"/>
    <w:rsid w:val="008849EA"/>
    <w:rsid w:val="008875BC"/>
    <w:rsid w:val="00891773"/>
    <w:rsid w:val="00891FE8"/>
    <w:rsid w:val="00896450"/>
    <w:rsid w:val="008B5C41"/>
    <w:rsid w:val="008C750C"/>
    <w:rsid w:val="008D16ED"/>
    <w:rsid w:val="008D2A6B"/>
    <w:rsid w:val="008D49A5"/>
    <w:rsid w:val="008E0B66"/>
    <w:rsid w:val="008E172D"/>
    <w:rsid w:val="008E6065"/>
    <w:rsid w:val="008E7E34"/>
    <w:rsid w:val="00902730"/>
    <w:rsid w:val="00906C9F"/>
    <w:rsid w:val="00921577"/>
    <w:rsid w:val="009259E1"/>
    <w:rsid w:val="009276C6"/>
    <w:rsid w:val="0093557F"/>
    <w:rsid w:val="009368F8"/>
    <w:rsid w:val="00950193"/>
    <w:rsid w:val="0095188F"/>
    <w:rsid w:val="00953865"/>
    <w:rsid w:val="009550A0"/>
    <w:rsid w:val="00960C64"/>
    <w:rsid w:val="00963D4F"/>
    <w:rsid w:val="0097218E"/>
    <w:rsid w:val="00980425"/>
    <w:rsid w:val="0098230A"/>
    <w:rsid w:val="00991C69"/>
    <w:rsid w:val="009923C0"/>
    <w:rsid w:val="009B78FE"/>
    <w:rsid w:val="009C3521"/>
    <w:rsid w:val="009C4461"/>
    <w:rsid w:val="009C6B5A"/>
    <w:rsid w:val="009E097D"/>
    <w:rsid w:val="009E7E6E"/>
    <w:rsid w:val="009F0B68"/>
    <w:rsid w:val="00A07E67"/>
    <w:rsid w:val="00A17C59"/>
    <w:rsid w:val="00A31F72"/>
    <w:rsid w:val="00A41FC6"/>
    <w:rsid w:val="00A44B1B"/>
    <w:rsid w:val="00A4583A"/>
    <w:rsid w:val="00A70D9D"/>
    <w:rsid w:val="00A7548F"/>
    <w:rsid w:val="00A81673"/>
    <w:rsid w:val="00A90EA6"/>
    <w:rsid w:val="00AB16D7"/>
    <w:rsid w:val="00AB5744"/>
    <w:rsid w:val="00AB5C6E"/>
    <w:rsid w:val="00AB6AB1"/>
    <w:rsid w:val="00AB7E5D"/>
    <w:rsid w:val="00AB7EB4"/>
    <w:rsid w:val="00AC15B7"/>
    <w:rsid w:val="00AC367F"/>
    <w:rsid w:val="00AD3C77"/>
    <w:rsid w:val="00AD73B0"/>
    <w:rsid w:val="00AE4214"/>
    <w:rsid w:val="00AF0FCD"/>
    <w:rsid w:val="00AF5FF0"/>
    <w:rsid w:val="00AF7934"/>
    <w:rsid w:val="00B0702A"/>
    <w:rsid w:val="00B206A8"/>
    <w:rsid w:val="00B27341"/>
    <w:rsid w:val="00B33B72"/>
    <w:rsid w:val="00B408D4"/>
    <w:rsid w:val="00B4779A"/>
    <w:rsid w:val="00B52B01"/>
    <w:rsid w:val="00B6399D"/>
    <w:rsid w:val="00B6690B"/>
    <w:rsid w:val="00B7545C"/>
    <w:rsid w:val="00B76CE6"/>
    <w:rsid w:val="00B92AEC"/>
    <w:rsid w:val="00B957E6"/>
    <w:rsid w:val="00B97626"/>
    <w:rsid w:val="00BA0E81"/>
    <w:rsid w:val="00BA6913"/>
    <w:rsid w:val="00BB0A91"/>
    <w:rsid w:val="00BB0B3B"/>
    <w:rsid w:val="00BB764F"/>
    <w:rsid w:val="00BC137E"/>
    <w:rsid w:val="00BC7111"/>
    <w:rsid w:val="00BD0B43"/>
    <w:rsid w:val="00BE0D92"/>
    <w:rsid w:val="00BE4685"/>
    <w:rsid w:val="00BE6035"/>
    <w:rsid w:val="00BF37DC"/>
    <w:rsid w:val="00BF4778"/>
    <w:rsid w:val="00BF7136"/>
    <w:rsid w:val="00C162AD"/>
    <w:rsid w:val="00C17D6F"/>
    <w:rsid w:val="00C359CF"/>
    <w:rsid w:val="00C370BB"/>
    <w:rsid w:val="00C415B8"/>
    <w:rsid w:val="00C460DB"/>
    <w:rsid w:val="00C50CEC"/>
    <w:rsid w:val="00C538D1"/>
    <w:rsid w:val="00C5423D"/>
    <w:rsid w:val="00C607FB"/>
    <w:rsid w:val="00C76EE0"/>
    <w:rsid w:val="00C8242A"/>
    <w:rsid w:val="00C828CF"/>
    <w:rsid w:val="00C8330C"/>
    <w:rsid w:val="00C85BFA"/>
    <w:rsid w:val="00C85EFE"/>
    <w:rsid w:val="00C906AF"/>
    <w:rsid w:val="00C934DE"/>
    <w:rsid w:val="00C93CB2"/>
    <w:rsid w:val="00CA13A3"/>
    <w:rsid w:val="00CA51AF"/>
    <w:rsid w:val="00CA5CB1"/>
    <w:rsid w:val="00CB11DF"/>
    <w:rsid w:val="00CB3ACA"/>
    <w:rsid w:val="00CD2995"/>
    <w:rsid w:val="00CF7805"/>
    <w:rsid w:val="00D007F8"/>
    <w:rsid w:val="00D030C9"/>
    <w:rsid w:val="00D05A52"/>
    <w:rsid w:val="00D114C6"/>
    <w:rsid w:val="00D142D0"/>
    <w:rsid w:val="00D23D90"/>
    <w:rsid w:val="00D26BF9"/>
    <w:rsid w:val="00D3513D"/>
    <w:rsid w:val="00D35879"/>
    <w:rsid w:val="00D41F27"/>
    <w:rsid w:val="00D47210"/>
    <w:rsid w:val="00D54217"/>
    <w:rsid w:val="00D544F7"/>
    <w:rsid w:val="00D57C08"/>
    <w:rsid w:val="00D62977"/>
    <w:rsid w:val="00D635A1"/>
    <w:rsid w:val="00D6411A"/>
    <w:rsid w:val="00D67ABF"/>
    <w:rsid w:val="00D749E6"/>
    <w:rsid w:val="00D834E2"/>
    <w:rsid w:val="00D839E9"/>
    <w:rsid w:val="00D844EE"/>
    <w:rsid w:val="00D847F8"/>
    <w:rsid w:val="00D90465"/>
    <w:rsid w:val="00D95275"/>
    <w:rsid w:val="00DB7D74"/>
    <w:rsid w:val="00DC65A4"/>
    <w:rsid w:val="00DD346F"/>
    <w:rsid w:val="00DF1141"/>
    <w:rsid w:val="00DF3644"/>
    <w:rsid w:val="00DF3DF5"/>
    <w:rsid w:val="00DF63A6"/>
    <w:rsid w:val="00E028CA"/>
    <w:rsid w:val="00E04AF0"/>
    <w:rsid w:val="00E0681F"/>
    <w:rsid w:val="00E12FD3"/>
    <w:rsid w:val="00E22AAE"/>
    <w:rsid w:val="00E27562"/>
    <w:rsid w:val="00E3298D"/>
    <w:rsid w:val="00E37B98"/>
    <w:rsid w:val="00E406B4"/>
    <w:rsid w:val="00E40EAA"/>
    <w:rsid w:val="00E43F3A"/>
    <w:rsid w:val="00E45B15"/>
    <w:rsid w:val="00E63CEF"/>
    <w:rsid w:val="00E65D5E"/>
    <w:rsid w:val="00E67C6B"/>
    <w:rsid w:val="00E707D9"/>
    <w:rsid w:val="00E74EED"/>
    <w:rsid w:val="00E7569C"/>
    <w:rsid w:val="00E76516"/>
    <w:rsid w:val="00E778FE"/>
    <w:rsid w:val="00EA028E"/>
    <w:rsid w:val="00EA1562"/>
    <w:rsid w:val="00EA6527"/>
    <w:rsid w:val="00EA68CE"/>
    <w:rsid w:val="00EB1C45"/>
    <w:rsid w:val="00EB2553"/>
    <w:rsid w:val="00EB51EB"/>
    <w:rsid w:val="00EC3D67"/>
    <w:rsid w:val="00EC677A"/>
    <w:rsid w:val="00EF284E"/>
    <w:rsid w:val="00F050F2"/>
    <w:rsid w:val="00F10412"/>
    <w:rsid w:val="00F13E29"/>
    <w:rsid w:val="00F164D2"/>
    <w:rsid w:val="00F25445"/>
    <w:rsid w:val="00F322A8"/>
    <w:rsid w:val="00F3436F"/>
    <w:rsid w:val="00F45927"/>
    <w:rsid w:val="00F52D50"/>
    <w:rsid w:val="00F53E0C"/>
    <w:rsid w:val="00F65D4B"/>
    <w:rsid w:val="00F717C6"/>
    <w:rsid w:val="00F7577A"/>
    <w:rsid w:val="00F771BD"/>
    <w:rsid w:val="00F80EE4"/>
    <w:rsid w:val="00F83EDB"/>
    <w:rsid w:val="00F91619"/>
    <w:rsid w:val="00F93094"/>
    <w:rsid w:val="00F9400E"/>
    <w:rsid w:val="00F966DA"/>
    <w:rsid w:val="00FA1C07"/>
    <w:rsid w:val="00FA48E3"/>
    <w:rsid w:val="00FA4A2D"/>
    <w:rsid w:val="00FA4E88"/>
    <w:rsid w:val="00FA7368"/>
    <w:rsid w:val="00FB174B"/>
    <w:rsid w:val="00FB2CBD"/>
    <w:rsid w:val="00FB54DD"/>
    <w:rsid w:val="00FB6A97"/>
    <w:rsid w:val="00FC01A6"/>
    <w:rsid w:val="00FC21CE"/>
    <w:rsid w:val="00FF06B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0200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835906"/>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ihemBenSedrin/posts/pfbid02rWdcE5fAqQpaucmuAhR3N7LyRFhZUCjLqi8bpEg7MWHuTsy3bMb3tvKFrsXcKLhKl" TargetMode="External"/><Relationship Id="rId13" Type="http://schemas.openxmlformats.org/officeDocument/2006/relationships/hyperlink" Target="https://www.amnesty.org/es/documents/mde30/8221/2018/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carthage.tn" TargetMode="External"/><Relationship Id="rId12" Type="http://schemas.openxmlformats.org/officeDocument/2006/relationships/hyperlink" Target="https://www.amnesty.org/en/latest/press-release/2019/03/tunisia-truth-commission-findings-must-lead-to-justice-for-thousands-of-victims-of-human-rights-violation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n/latest/news/2018/04/tunisia-fate-of-truth-commission-unclear-as-it-refers-two-historic-cases-to-trial/" TargetMode="External"/><Relationship Id="rId5" Type="http://schemas.openxmlformats.org/officeDocument/2006/relationships/footnotes" Target="footnotes.xml"/><Relationship Id="rId15" Type="http://schemas.openxmlformats.org/officeDocument/2006/relationships/hyperlink" Target="https://www.amnesty.org/es/documents/mde30/8456/2024/es/" TargetMode="External"/><Relationship Id="rId10" Type="http://schemas.openxmlformats.org/officeDocument/2006/relationships/hyperlink" Target="https://www.amnesty.org/en/latest/news/2018/04/tunisia-fate-of-truth-commission-unclear-as-it-refers-two-historic-cases-to-tri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mnesty.org/es/documents/mde30/001/2000/es/" TargetMode="External"/><Relationship Id="rId14" Type="http://schemas.openxmlformats.org/officeDocument/2006/relationships/hyperlink" Target="https://spcommreports.ohchr.org/TMResultsBase/DownLoadPublicCommunicationFile?gId=2808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1699</Words>
  <Characters>9350</Characters>
  <Application>Microsoft Office Word</Application>
  <DocSecurity>0</DocSecurity>
  <Lines>77</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2025-01-30T09:11:00Z</dcterms:created>
  <dcterms:modified xsi:type="dcterms:W3CDTF">2025-01-30T09:11:00Z</dcterms:modified>
</cp:coreProperties>
</file>